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00BCB" w:rsidRDefault="006C1830">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#101</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sidR="00F81C17" w:rsidRPr="00F81C17">
        <w:rPr>
          <w:rFonts w:ascii="Arial" w:hAnsi="Arial" w:cs="Arial"/>
          <w:b/>
          <w:bCs/>
          <w:sz w:val="22"/>
          <w:szCs w:val="22"/>
        </w:rPr>
        <w:t>R1-2003544</w:t>
      </w:r>
    </w:p>
    <w:p w:rsidR="00500BCB" w:rsidRDefault="006C1830">
      <w:pPr>
        <w:tabs>
          <w:tab w:val="center" w:pos="4536"/>
          <w:tab w:val="right" w:pos="9639"/>
        </w:tabs>
        <w:spacing w:beforeLines="0" w:after="120" w:line="240" w:lineRule="auto"/>
        <w:ind w:right="2"/>
        <w:rPr>
          <w:rFonts w:ascii="Arial" w:hAnsi="Arial" w:cs="Arial"/>
          <w:b/>
          <w:bCs/>
          <w:sz w:val="22"/>
          <w:szCs w:val="22"/>
          <w:lang w:eastAsia="ja-JP"/>
        </w:rPr>
      </w:pPr>
      <w:r>
        <w:rPr>
          <w:rFonts w:ascii="Arial" w:hAnsi="Arial" w:cs="Arial"/>
          <w:b/>
          <w:bCs/>
          <w:sz w:val="22"/>
          <w:szCs w:val="22"/>
          <w:lang w:eastAsia="ja-JP"/>
        </w:rPr>
        <w:t>e-Meeting</w:t>
      </w:r>
      <w:r>
        <w:rPr>
          <w:rFonts w:ascii="Arial" w:hAnsi="Arial" w:cs="Arial" w:hint="eastAsia"/>
          <w:b/>
          <w:bCs/>
          <w:sz w:val="22"/>
          <w:szCs w:val="22"/>
          <w:lang w:eastAsia="ja-JP"/>
        </w:rPr>
        <w:t xml:space="preserve">, </w:t>
      </w:r>
      <w:r>
        <w:rPr>
          <w:rFonts w:ascii="Arial" w:hAnsi="Arial" w:cs="Arial" w:hint="eastAsia"/>
          <w:b/>
          <w:bCs/>
          <w:sz w:val="22"/>
          <w:szCs w:val="22"/>
        </w:rPr>
        <w:t>May</w:t>
      </w:r>
      <w:r>
        <w:rPr>
          <w:rFonts w:ascii="Arial" w:hAnsi="Arial" w:cs="Arial" w:hint="eastAsia"/>
          <w:b/>
          <w:bCs/>
          <w:sz w:val="22"/>
          <w:szCs w:val="22"/>
          <w:lang w:eastAsia="ja-JP"/>
        </w:rPr>
        <w:t xml:space="preserve"> 2</w:t>
      </w:r>
      <w:r>
        <w:rPr>
          <w:rFonts w:ascii="Arial" w:hAnsi="Arial" w:cs="Arial" w:hint="eastAsia"/>
          <w:b/>
          <w:bCs/>
          <w:sz w:val="22"/>
          <w:szCs w:val="22"/>
        </w:rPr>
        <w:t>5</w:t>
      </w:r>
      <w:r>
        <w:rPr>
          <w:rFonts w:ascii="Arial" w:hAnsi="Arial" w:cs="Arial" w:hint="eastAsia"/>
          <w:b/>
          <w:bCs/>
          <w:sz w:val="22"/>
          <w:szCs w:val="22"/>
          <w:vertAlign w:val="superscript"/>
          <w:lang w:eastAsia="ja-JP"/>
        </w:rPr>
        <w:t>th</w:t>
      </w:r>
      <w:r>
        <w:rPr>
          <w:rFonts w:ascii="Arial" w:hAnsi="Arial" w:cs="Arial"/>
          <w:b/>
          <w:bCs/>
          <w:sz w:val="22"/>
          <w:szCs w:val="22"/>
          <w:lang w:eastAsia="ja-JP"/>
        </w:rPr>
        <w:t xml:space="preserve"> – </w:t>
      </w:r>
      <w:r w:rsidR="00AB341D">
        <w:rPr>
          <w:rFonts w:ascii="Arial" w:hAnsi="Arial" w:cs="Arial"/>
          <w:b/>
          <w:bCs/>
          <w:sz w:val="22"/>
          <w:szCs w:val="22"/>
          <w:lang w:eastAsia="ja-JP"/>
        </w:rPr>
        <w:t xml:space="preserve">June </w:t>
      </w:r>
      <w:r w:rsidR="00AB341D">
        <w:rPr>
          <w:rFonts w:ascii="Arial" w:hAnsi="Arial" w:cs="Arial" w:hint="eastAsia"/>
          <w:b/>
          <w:bCs/>
          <w:sz w:val="22"/>
          <w:szCs w:val="22"/>
        </w:rPr>
        <w:t>5</w:t>
      </w:r>
      <w:bookmarkStart w:id="0" w:name="_GoBack"/>
      <w:bookmarkEnd w:id="0"/>
      <w:r>
        <w:rPr>
          <w:rFonts w:ascii="Arial" w:hAnsi="Arial" w:cs="Arial" w:hint="eastAsia"/>
          <w:b/>
          <w:bCs/>
          <w:sz w:val="22"/>
          <w:szCs w:val="22"/>
          <w:vertAlign w:val="superscript"/>
          <w:lang w:eastAsia="ja-JP"/>
        </w:rPr>
        <w:t>th</w:t>
      </w:r>
      <w:r>
        <w:rPr>
          <w:rFonts w:ascii="Arial" w:hAnsi="Arial" w:cs="Arial" w:hint="eastAsia"/>
          <w:b/>
          <w:bCs/>
          <w:sz w:val="22"/>
          <w:szCs w:val="22"/>
          <w:lang w:eastAsia="ja-JP"/>
        </w:rPr>
        <w:t>, 202</w:t>
      </w:r>
      <w:r>
        <w:rPr>
          <w:rFonts w:ascii="Arial" w:hAnsi="Arial" w:cs="Arial" w:hint="eastAsia"/>
          <w:b/>
          <w:bCs/>
          <w:sz w:val="22"/>
          <w:szCs w:val="22"/>
        </w:rPr>
        <w:t>0</w:t>
      </w:r>
    </w:p>
    <w:p w:rsidR="00500BCB" w:rsidRDefault="00500BCB">
      <w:pPr>
        <w:tabs>
          <w:tab w:val="center" w:pos="4536"/>
          <w:tab w:val="right" w:pos="9639"/>
        </w:tabs>
        <w:spacing w:beforeLines="0" w:after="120" w:line="240" w:lineRule="auto"/>
        <w:ind w:right="2"/>
        <w:rPr>
          <w:rFonts w:ascii="Arial" w:hAnsi="Arial" w:cs="Arial"/>
          <w:b/>
          <w:bCs/>
          <w:sz w:val="22"/>
          <w:szCs w:val="22"/>
        </w:rPr>
      </w:pPr>
    </w:p>
    <w:p w:rsidR="00500BCB" w:rsidRDefault="006C1830" w:rsidP="00644D08">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Remaining i</w:t>
      </w:r>
      <w:r>
        <w:rPr>
          <w:rFonts w:ascii="Arial" w:hAnsi="Arial"/>
          <w:b/>
          <w:sz w:val="22"/>
          <w:szCs w:val="22"/>
        </w:rPr>
        <w:t>ssues in IAB</w:t>
      </w:r>
      <w:r>
        <w:rPr>
          <w:rFonts w:ascii="Arial" w:hAnsi="Arial" w:hint="eastAsia"/>
          <w:b/>
          <w:sz w:val="22"/>
          <w:szCs w:val="22"/>
        </w:rPr>
        <w:t xml:space="preserve"> resource multiplexing</w:t>
      </w:r>
    </w:p>
    <w:p w:rsidR="00500BCB" w:rsidRDefault="006C1830">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500BCB" w:rsidRDefault="006C1830">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7.2.3.3</w:t>
      </w:r>
    </w:p>
    <w:p w:rsidR="00500BCB" w:rsidRDefault="006C1830">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500BCB" w:rsidRDefault="006C1830">
      <w:pPr>
        <w:pStyle w:val="Heading1"/>
        <w:spacing w:before="120" w:after="120"/>
        <w:ind w:left="0"/>
        <w:rPr>
          <w:rFonts w:eastAsia="SimSun"/>
        </w:rPr>
      </w:pPr>
      <w:r>
        <w:rPr>
          <w:rFonts w:eastAsia="SimSun" w:hint="eastAsia"/>
        </w:rPr>
        <w:t>Introduction</w:t>
      </w:r>
    </w:p>
    <w:p w:rsidR="00500BCB" w:rsidRDefault="006C1830">
      <w:pPr>
        <w:spacing w:before="120" w:after="120"/>
        <w:rPr>
          <w:sz w:val="20"/>
        </w:rPr>
      </w:pPr>
      <w:r>
        <w:rPr>
          <w:sz w:val="20"/>
        </w:rPr>
        <w:t>This contribution further discusses the remaining issues in IAB resource multiplexing</w:t>
      </w:r>
      <w:r>
        <w:rPr>
          <w:rFonts w:hint="eastAsia"/>
          <w:sz w:val="20"/>
          <w:szCs w:val="22"/>
        </w:rPr>
        <w:t xml:space="preserve">. </w:t>
      </w:r>
    </w:p>
    <w:p w:rsidR="00500BCB" w:rsidRDefault="006C1830">
      <w:pPr>
        <w:pStyle w:val="Heading1"/>
        <w:spacing w:before="120" w:after="120"/>
        <w:ind w:left="0"/>
        <w:rPr>
          <w:szCs w:val="22"/>
        </w:rPr>
      </w:pPr>
      <w:r>
        <w:rPr>
          <w:rFonts w:eastAsia="SimSun" w:hint="eastAsia"/>
          <w:szCs w:val="22"/>
        </w:rPr>
        <w:t>Guard symbols for DU resource</w:t>
      </w:r>
    </w:p>
    <w:p w:rsidR="00500BCB" w:rsidRDefault="006C1830">
      <w:pPr>
        <w:spacing w:before="120" w:after="120"/>
        <w:rPr>
          <w:sz w:val="20"/>
          <w:szCs w:val="22"/>
        </w:rPr>
      </w:pPr>
      <w:r>
        <w:rPr>
          <w:rFonts w:hint="eastAsia"/>
          <w:sz w:val="20"/>
          <w:szCs w:val="22"/>
        </w:rPr>
        <w:t>One guard symbols related agreement was reached in RAN1#98 meeting as below:</w:t>
      </w:r>
    </w:p>
    <w:p w:rsidR="00500BCB" w:rsidRDefault="006C1830">
      <w:pPr>
        <w:spacing w:before="120" w:after="120"/>
        <w:rPr>
          <w:b/>
          <w:bCs/>
        </w:rPr>
      </w:pPr>
      <w:r>
        <w:rPr>
          <w:highlight w:val="green"/>
        </w:rPr>
        <w:t>Agreements</w:t>
      </w:r>
      <w:r>
        <w:rPr>
          <w:b/>
          <w:bCs/>
        </w:rPr>
        <w:t>:</w:t>
      </w:r>
    </w:p>
    <w:p w:rsidR="00500BCB" w:rsidRDefault="006C1830">
      <w:pPr>
        <w:spacing w:before="120" w:after="120"/>
        <w:rPr>
          <w:i/>
          <w:iCs/>
          <w:sz w:val="20"/>
          <w:szCs w:val="22"/>
          <w:lang w:eastAsia="en-US"/>
        </w:rPr>
      </w:pPr>
      <w:r>
        <w:rPr>
          <w:rFonts w:hint="eastAsia"/>
          <w:i/>
          <w:iCs/>
          <w:sz w:val="20"/>
          <w:szCs w:val="22"/>
          <w:lang w:eastAsia="en-US"/>
        </w:rPr>
        <w:t>A parent IAB node can be made aware of the number of symbols Ng the child IAB node would like the parent IAB node not to use at the edge (beginning or end) of a slot when there is a transition between child MT and child DU. Separately or additionally, the child IAB node can be made aware of the number of guard symbols that the parent IAB node will provide.</w:t>
      </w:r>
    </w:p>
    <w:p w:rsidR="00500BCB" w:rsidRDefault="006C1830">
      <w:pPr>
        <w:pStyle w:val="maintext"/>
        <w:numPr>
          <w:ilvl w:val="0"/>
          <w:numId w:val="9"/>
        </w:numPr>
        <w:spacing w:before="120" w:after="120"/>
        <w:ind w:firstLineChars="0"/>
        <w:jc w:val="left"/>
        <w:rPr>
          <w:rFonts w:eastAsia="Times New Roman"/>
          <w:i/>
          <w:iCs/>
          <w:sz w:val="20"/>
          <w:szCs w:val="20"/>
          <w:lang w:eastAsia="en-US"/>
        </w:rPr>
      </w:pPr>
      <w:r>
        <w:rPr>
          <w:rFonts w:eastAsia="Times New Roman"/>
          <w:i/>
          <w:iCs/>
          <w:sz w:val="20"/>
          <w:szCs w:val="20"/>
          <w:lang w:eastAsia="en-US"/>
        </w:rPr>
        <w:t>Ng can be provided for each of the [8] possible transitions with potential overlap:</w:t>
      </w: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5"/>
        <w:gridCol w:w="990"/>
        <w:gridCol w:w="970"/>
      </w:tblGrid>
      <w:tr w:rsidR="00500BCB">
        <w:tc>
          <w:tcPr>
            <w:tcW w:w="1435" w:type="dxa"/>
            <w:tcBorders>
              <w:top w:val="single" w:sz="12" w:space="0" w:color="auto"/>
              <w:left w:val="single" w:sz="12" w:space="0" w:color="auto"/>
            </w:tcBorders>
            <w:shd w:val="clear" w:color="auto" w:fill="auto"/>
          </w:tcPr>
          <w:p w:rsidR="00500BCB" w:rsidRDefault="006C1830">
            <w:pPr>
              <w:pStyle w:val="maintext"/>
              <w:spacing w:before="120" w:after="120"/>
              <w:ind w:firstLineChars="0" w:firstLine="0"/>
              <w:jc w:val="center"/>
              <w:rPr>
                <w:rFonts w:ascii="Arial" w:eastAsia="Times New Roman" w:hAnsi="Arial"/>
                <w:i/>
                <w:iCs/>
                <w:sz w:val="20"/>
                <w:szCs w:val="20"/>
                <w:lang w:eastAsia="en-US"/>
              </w:rPr>
            </w:pPr>
            <w:r>
              <w:rPr>
                <w:i/>
                <w:iCs/>
                <w:sz w:val="20"/>
                <w:szCs w:val="20"/>
              </w:rPr>
              <w:t>MT to DU</w:t>
            </w:r>
          </w:p>
        </w:tc>
        <w:tc>
          <w:tcPr>
            <w:tcW w:w="990" w:type="dxa"/>
            <w:tcBorders>
              <w:top w:val="single" w:sz="12" w:space="0" w:color="auto"/>
            </w:tcBorders>
            <w:shd w:val="clear" w:color="auto" w:fill="auto"/>
          </w:tcPr>
          <w:p w:rsidR="00500BCB" w:rsidRDefault="006C1830">
            <w:pPr>
              <w:pStyle w:val="maintext"/>
              <w:spacing w:before="120" w:after="120"/>
              <w:ind w:firstLineChars="0" w:firstLine="0"/>
              <w:jc w:val="center"/>
              <w:rPr>
                <w:rFonts w:ascii="Arial" w:eastAsia="Times New Roman" w:hAnsi="Arial"/>
                <w:i/>
                <w:iCs/>
                <w:sz w:val="20"/>
                <w:szCs w:val="20"/>
                <w:lang w:eastAsia="en-US"/>
              </w:rPr>
            </w:pPr>
            <w:r>
              <w:rPr>
                <w:i/>
                <w:iCs/>
                <w:sz w:val="20"/>
                <w:szCs w:val="20"/>
              </w:rPr>
              <w:t>DL Tx</w:t>
            </w:r>
          </w:p>
        </w:tc>
        <w:tc>
          <w:tcPr>
            <w:tcW w:w="970" w:type="dxa"/>
            <w:tcBorders>
              <w:top w:val="single" w:sz="12" w:space="0" w:color="auto"/>
              <w:right w:val="single" w:sz="12" w:space="0" w:color="auto"/>
            </w:tcBorders>
            <w:shd w:val="clear" w:color="auto" w:fill="auto"/>
          </w:tcPr>
          <w:p w:rsidR="00500BCB" w:rsidRDefault="006C1830">
            <w:pPr>
              <w:pStyle w:val="maintext"/>
              <w:spacing w:before="120" w:after="120"/>
              <w:ind w:firstLineChars="0" w:firstLine="0"/>
              <w:jc w:val="center"/>
              <w:rPr>
                <w:rFonts w:ascii="Arial" w:eastAsia="Times New Roman" w:hAnsi="Arial"/>
                <w:i/>
                <w:iCs/>
                <w:sz w:val="20"/>
                <w:szCs w:val="20"/>
                <w:lang w:eastAsia="en-US"/>
              </w:rPr>
            </w:pPr>
            <w:r>
              <w:rPr>
                <w:i/>
                <w:iCs/>
                <w:sz w:val="20"/>
                <w:szCs w:val="20"/>
              </w:rPr>
              <w:t>UL Rx</w:t>
            </w:r>
          </w:p>
        </w:tc>
      </w:tr>
      <w:tr w:rsidR="00500BCB">
        <w:tc>
          <w:tcPr>
            <w:tcW w:w="1435" w:type="dxa"/>
            <w:tcBorders>
              <w:left w:val="single" w:sz="12" w:space="0" w:color="auto"/>
            </w:tcBorders>
            <w:shd w:val="clear" w:color="auto" w:fill="auto"/>
          </w:tcPr>
          <w:p w:rsidR="00500BCB" w:rsidRDefault="006C1830">
            <w:pPr>
              <w:pStyle w:val="maintext"/>
              <w:spacing w:before="120" w:after="120"/>
              <w:ind w:firstLineChars="0" w:firstLine="0"/>
              <w:jc w:val="center"/>
              <w:rPr>
                <w:rFonts w:ascii="Arial" w:eastAsia="Times New Roman" w:hAnsi="Arial"/>
                <w:i/>
                <w:iCs/>
                <w:sz w:val="20"/>
                <w:szCs w:val="20"/>
                <w:lang w:eastAsia="en-US"/>
              </w:rPr>
            </w:pPr>
            <w:r>
              <w:rPr>
                <w:i/>
                <w:iCs/>
                <w:sz w:val="20"/>
                <w:szCs w:val="20"/>
              </w:rPr>
              <w:t>DL Rx</w:t>
            </w:r>
          </w:p>
        </w:tc>
        <w:tc>
          <w:tcPr>
            <w:tcW w:w="990" w:type="dxa"/>
            <w:shd w:val="clear" w:color="auto" w:fill="auto"/>
          </w:tcPr>
          <w:p w:rsidR="00500BCB" w:rsidRDefault="00500BCB">
            <w:pPr>
              <w:pStyle w:val="maintext"/>
              <w:spacing w:before="120" w:after="120"/>
              <w:ind w:firstLineChars="0" w:firstLine="0"/>
              <w:jc w:val="center"/>
              <w:rPr>
                <w:rFonts w:ascii="Arial" w:eastAsia="Times New Roman" w:hAnsi="Arial"/>
                <w:i/>
                <w:iCs/>
                <w:sz w:val="20"/>
                <w:szCs w:val="20"/>
                <w:lang w:eastAsia="en-US"/>
              </w:rPr>
            </w:pPr>
          </w:p>
        </w:tc>
        <w:tc>
          <w:tcPr>
            <w:tcW w:w="970" w:type="dxa"/>
            <w:tcBorders>
              <w:right w:val="single" w:sz="12" w:space="0" w:color="auto"/>
            </w:tcBorders>
            <w:shd w:val="clear" w:color="auto" w:fill="auto"/>
          </w:tcPr>
          <w:p w:rsidR="00500BCB" w:rsidRDefault="00500BCB">
            <w:pPr>
              <w:pStyle w:val="maintext"/>
              <w:spacing w:before="120" w:after="120"/>
              <w:ind w:firstLineChars="0" w:firstLine="0"/>
              <w:jc w:val="center"/>
              <w:rPr>
                <w:rFonts w:ascii="Arial" w:eastAsia="Times New Roman" w:hAnsi="Arial"/>
                <w:i/>
                <w:iCs/>
                <w:sz w:val="20"/>
                <w:szCs w:val="20"/>
                <w:lang w:eastAsia="en-US"/>
              </w:rPr>
            </w:pPr>
          </w:p>
        </w:tc>
      </w:tr>
      <w:tr w:rsidR="00500BCB">
        <w:tc>
          <w:tcPr>
            <w:tcW w:w="1435" w:type="dxa"/>
            <w:tcBorders>
              <w:left w:val="single" w:sz="12" w:space="0" w:color="auto"/>
              <w:bottom w:val="single" w:sz="12" w:space="0" w:color="auto"/>
            </w:tcBorders>
            <w:shd w:val="clear" w:color="auto" w:fill="auto"/>
          </w:tcPr>
          <w:p w:rsidR="00500BCB" w:rsidRDefault="006C1830">
            <w:pPr>
              <w:pStyle w:val="maintext"/>
              <w:spacing w:before="120" w:after="120"/>
              <w:ind w:firstLineChars="0" w:firstLine="0"/>
              <w:jc w:val="center"/>
              <w:rPr>
                <w:rFonts w:ascii="Arial" w:eastAsia="Times New Roman" w:hAnsi="Arial"/>
                <w:i/>
                <w:iCs/>
                <w:sz w:val="20"/>
                <w:szCs w:val="20"/>
                <w:lang w:eastAsia="en-US"/>
              </w:rPr>
            </w:pPr>
            <w:r>
              <w:rPr>
                <w:i/>
                <w:iCs/>
                <w:sz w:val="20"/>
                <w:szCs w:val="20"/>
              </w:rPr>
              <w:t>UL Tx</w:t>
            </w:r>
          </w:p>
        </w:tc>
        <w:tc>
          <w:tcPr>
            <w:tcW w:w="990" w:type="dxa"/>
            <w:tcBorders>
              <w:bottom w:val="single" w:sz="12" w:space="0" w:color="auto"/>
            </w:tcBorders>
            <w:shd w:val="clear" w:color="auto" w:fill="auto"/>
          </w:tcPr>
          <w:p w:rsidR="00500BCB" w:rsidRDefault="00500BCB">
            <w:pPr>
              <w:pStyle w:val="maintext"/>
              <w:spacing w:before="120" w:after="120"/>
              <w:ind w:firstLineChars="0" w:firstLine="0"/>
              <w:jc w:val="center"/>
              <w:rPr>
                <w:rFonts w:ascii="Arial" w:eastAsia="Times New Roman" w:hAnsi="Arial"/>
                <w:i/>
                <w:iCs/>
                <w:sz w:val="20"/>
                <w:szCs w:val="20"/>
                <w:lang w:eastAsia="en-US"/>
              </w:rPr>
            </w:pPr>
          </w:p>
        </w:tc>
        <w:tc>
          <w:tcPr>
            <w:tcW w:w="970" w:type="dxa"/>
            <w:tcBorders>
              <w:bottom w:val="single" w:sz="12" w:space="0" w:color="auto"/>
              <w:right w:val="single" w:sz="12" w:space="0" w:color="auto"/>
            </w:tcBorders>
            <w:shd w:val="clear" w:color="auto" w:fill="auto"/>
          </w:tcPr>
          <w:p w:rsidR="00500BCB" w:rsidRDefault="00500BCB">
            <w:pPr>
              <w:pStyle w:val="maintext"/>
              <w:spacing w:before="120" w:after="120"/>
              <w:ind w:firstLineChars="0" w:firstLine="0"/>
              <w:jc w:val="center"/>
              <w:rPr>
                <w:rFonts w:ascii="Arial" w:eastAsia="Times New Roman" w:hAnsi="Arial"/>
                <w:i/>
                <w:iCs/>
                <w:sz w:val="20"/>
                <w:szCs w:val="20"/>
                <w:lang w:eastAsia="en-US"/>
              </w:rPr>
            </w:pPr>
          </w:p>
        </w:tc>
      </w:tr>
      <w:tr w:rsidR="00500BCB">
        <w:tc>
          <w:tcPr>
            <w:tcW w:w="1435" w:type="dxa"/>
            <w:tcBorders>
              <w:top w:val="single" w:sz="12" w:space="0" w:color="auto"/>
              <w:left w:val="single" w:sz="12" w:space="0" w:color="auto"/>
            </w:tcBorders>
            <w:shd w:val="clear" w:color="auto" w:fill="auto"/>
          </w:tcPr>
          <w:p w:rsidR="00500BCB" w:rsidRDefault="006C1830">
            <w:pPr>
              <w:pStyle w:val="maintext"/>
              <w:spacing w:before="120" w:after="120"/>
              <w:ind w:firstLineChars="0" w:firstLine="0"/>
              <w:jc w:val="center"/>
              <w:rPr>
                <w:rFonts w:ascii="Arial" w:eastAsia="Times New Roman" w:hAnsi="Arial"/>
                <w:i/>
                <w:iCs/>
                <w:sz w:val="20"/>
                <w:szCs w:val="20"/>
                <w:lang w:eastAsia="en-US"/>
              </w:rPr>
            </w:pPr>
            <w:r>
              <w:rPr>
                <w:i/>
                <w:iCs/>
                <w:sz w:val="20"/>
                <w:szCs w:val="20"/>
              </w:rPr>
              <w:t>DU to MT</w:t>
            </w:r>
          </w:p>
        </w:tc>
        <w:tc>
          <w:tcPr>
            <w:tcW w:w="990" w:type="dxa"/>
            <w:tcBorders>
              <w:top w:val="single" w:sz="12" w:space="0" w:color="auto"/>
            </w:tcBorders>
            <w:shd w:val="clear" w:color="auto" w:fill="auto"/>
          </w:tcPr>
          <w:p w:rsidR="00500BCB" w:rsidRDefault="006C1830">
            <w:pPr>
              <w:pStyle w:val="maintext"/>
              <w:spacing w:before="120" w:after="120"/>
              <w:ind w:firstLineChars="0" w:firstLine="0"/>
              <w:jc w:val="center"/>
              <w:rPr>
                <w:rFonts w:ascii="Arial" w:eastAsia="Times New Roman" w:hAnsi="Arial"/>
                <w:i/>
                <w:iCs/>
                <w:sz w:val="20"/>
                <w:szCs w:val="20"/>
                <w:lang w:eastAsia="en-US"/>
              </w:rPr>
            </w:pPr>
            <w:r>
              <w:rPr>
                <w:i/>
                <w:iCs/>
                <w:sz w:val="20"/>
                <w:szCs w:val="20"/>
              </w:rPr>
              <w:t>DL Rx</w:t>
            </w:r>
          </w:p>
        </w:tc>
        <w:tc>
          <w:tcPr>
            <w:tcW w:w="970" w:type="dxa"/>
            <w:tcBorders>
              <w:top w:val="single" w:sz="12" w:space="0" w:color="auto"/>
              <w:right w:val="single" w:sz="12" w:space="0" w:color="auto"/>
            </w:tcBorders>
            <w:shd w:val="clear" w:color="auto" w:fill="auto"/>
          </w:tcPr>
          <w:p w:rsidR="00500BCB" w:rsidRDefault="006C1830">
            <w:pPr>
              <w:pStyle w:val="maintext"/>
              <w:spacing w:before="120" w:after="120"/>
              <w:ind w:firstLineChars="0" w:firstLine="0"/>
              <w:jc w:val="center"/>
              <w:rPr>
                <w:rFonts w:ascii="Arial" w:eastAsia="Times New Roman" w:hAnsi="Arial"/>
                <w:i/>
                <w:iCs/>
                <w:sz w:val="20"/>
                <w:szCs w:val="20"/>
                <w:lang w:eastAsia="en-US"/>
              </w:rPr>
            </w:pPr>
            <w:r>
              <w:rPr>
                <w:i/>
                <w:iCs/>
                <w:sz w:val="20"/>
                <w:szCs w:val="20"/>
              </w:rPr>
              <w:t>UL Tx</w:t>
            </w:r>
          </w:p>
        </w:tc>
      </w:tr>
      <w:tr w:rsidR="00500BCB">
        <w:tc>
          <w:tcPr>
            <w:tcW w:w="1435" w:type="dxa"/>
            <w:tcBorders>
              <w:left w:val="single" w:sz="12" w:space="0" w:color="auto"/>
            </w:tcBorders>
            <w:shd w:val="clear" w:color="auto" w:fill="auto"/>
          </w:tcPr>
          <w:p w:rsidR="00500BCB" w:rsidRDefault="006C1830">
            <w:pPr>
              <w:pStyle w:val="maintext"/>
              <w:spacing w:before="120" w:after="120"/>
              <w:ind w:firstLineChars="0" w:firstLine="0"/>
              <w:jc w:val="center"/>
              <w:rPr>
                <w:rFonts w:ascii="Arial" w:eastAsia="Times New Roman" w:hAnsi="Arial"/>
                <w:i/>
                <w:iCs/>
                <w:sz w:val="20"/>
                <w:szCs w:val="20"/>
                <w:lang w:eastAsia="en-US"/>
              </w:rPr>
            </w:pPr>
            <w:r>
              <w:rPr>
                <w:i/>
                <w:iCs/>
                <w:sz w:val="20"/>
                <w:szCs w:val="20"/>
              </w:rPr>
              <w:t>DL Tx</w:t>
            </w:r>
          </w:p>
        </w:tc>
        <w:tc>
          <w:tcPr>
            <w:tcW w:w="990" w:type="dxa"/>
            <w:shd w:val="clear" w:color="auto" w:fill="auto"/>
          </w:tcPr>
          <w:p w:rsidR="00500BCB" w:rsidRDefault="00500BCB">
            <w:pPr>
              <w:pStyle w:val="maintext"/>
              <w:spacing w:before="120" w:after="120"/>
              <w:ind w:firstLineChars="0" w:firstLine="0"/>
              <w:jc w:val="center"/>
              <w:rPr>
                <w:rFonts w:ascii="Arial" w:eastAsia="Times New Roman" w:hAnsi="Arial"/>
                <w:i/>
                <w:iCs/>
                <w:sz w:val="20"/>
                <w:szCs w:val="20"/>
                <w:lang w:eastAsia="en-US"/>
              </w:rPr>
            </w:pPr>
          </w:p>
        </w:tc>
        <w:tc>
          <w:tcPr>
            <w:tcW w:w="970" w:type="dxa"/>
            <w:tcBorders>
              <w:right w:val="single" w:sz="12" w:space="0" w:color="auto"/>
            </w:tcBorders>
            <w:shd w:val="clear" w:color="auto" w:fill="auto"/>
          </w:tcPr>
          <w:p w:rsidR="00500BCB" w:rsidRDefault="00500BCB">
            <w:pPr>
              <w:pStyle w:val="maintext"/>
              <w:spacing w:before="120" w:after="120"/>
              <w:ind w:firstLineChars="0" w:firstLine="0"/>
              <w:jc w:val="center"/>
              <w:rPr>
                <w:rFonts w:ascii="Arial" w:eastAsia="Times New Roman" w:hAnsi="Arial"/>
                <w:i/>
                <w:iCs/>
                <w:sz w:val="20"/>
                <w:szCs w:val="20"/>
                <w:lang w:eastAsia="en-US"/>
              </w:rPr>
            </w:pPr>
          </w:p>
        </w:tc>
      </w:tr>
      <w:tr w:rsidR="00500BCB">
        <w:tc>
          <w:tcPr>
            <w:tcW w:w="1435" w:type="dxa"/>
            <w:tcBorders>
              <w:left w:val="single" w:sz="12" w:space="0" w:color="auto"/>
              <w:bottom w:val="single" w:sz="12" w:space="0" w:color="auto"/>
            </w:tcBorders>
            <w:shd w:val="clear" w:color="auto" w:fill="auto"/>
          </w:tcPr>
          <w:p w:rsidR="00500BCB" w:rsidRDefault="006C1830">
            <w:pPr>
              <w:pStyle w:val="maintext"/>
              <w:spacing w:before="120" w:after="120"/>
              <w:ind w:firstLineChars="0" w:firstLine="0"/>
              <w:jc w:val="center"/>
              <w:rPr>
                <w:rFonts w:ascii="Arial" w:eastAsia="Times New Roman" w:hAnsi="Arial"/>
                <w:i/>
                <w:iCs/>
                <w:sz w:val="20"/>
                <w:szCs w:val="20"/>
                <w:lang w:eastAsia="en-US"/>
              </w:rPr>
            </w:pPr>
            <w:r>
              <w:rPr>
                <w:i/>
                <w:iCs/>
                <w:sz w:val="20"/>
                <w:szCs w:val="20"/>
              </w:rPr>
              <w:t>UL Rx</w:t>
            </w:r>
          </w:p>
        </w:tc>
        <w:tc>
          <w:tcPr>
            <w:tcW w:w="990" w:type="dxa"/>
            <w:tcBorders>
              <w:bottom w:val="single" w:sz="12" w:space="0" w:color="auto"/>
            </w:tcBorders>
            <w:shd w:val="clear" w:color="auto" w:fill="auto"/>
          </w:tcPr>
          <w:p w:rsidR="00500BCB" w:rsidRDefault="00500BCB">
            <w:pPr>
              <w:pStyle w:val="maintext"/>
              <w:spacing w:before="120" w:after="120"/>
              <w:ind w:firstLineChars="0" w:firstLine="0"/>
              <w:jc w:val="center"/>
              <w:rPr>
                <w:rFonts w:ascii="Arial" w:eastAsia="Times New Roman" w:hAnsi="Arial"/>
                <w:i/>
                <w:iCs/>
                <w:sz w:val="20"/>
                <w:szCs w:val="20"/>
                <w:lang w:eastAsia="en-US"/>
              </w:rPr>
            </w:pPr>
          </w:p>
        </w:tc>
        <w:tc>
          <w:tcPr>
            <w:tcW w:w="970" w:type="dxa"/>
            <w:tcBorders>
              <w:bottom w:val="single" w:sz="12" w:space="0" w:color="auto"/>
              <w:right w:val="single" w:sz="12" w:space="0" w:color="auto"/>
            </w:tcBorders>
            <w:shd w:val="clear" w:color="auto" w:fill="auto"/>
          </w:tcPr>
          <w:p w:rsidR="00500BCB" w:rsidRDefault="00500BCB">
            <w:pPr>
              <w:pStyle w:val="maintext"/>
              <w:spacing w:before="120" w:after="120"/>
              <w:ind w:firstLineChars="0" w:firstLine="0"/>
              <w:jc w:val="center"/>
              <w:rPr>
                <w:rFonts w:ascii="Arial" w:eastAsia="Times New Roman" w:hAnsi="Arial"/>
                <w:i/>
                <w:iCs/>
                <w:sz w:val="20"/>
                <w:szCs w:val="20"/>
                <w:lang w:eastAsia="en-US"/>
              </w:rPr>
            </w:pPr>
          </w:p>
        </w:tc>
      </w:tr>
    </w:tbl>
    <w:p w:rsidR="00500BCB" w:rsidRDefault="006C1830">
      <w:pPr>
        <w:pStyle w:val="maintext"/>
        <w:numPr>
          <w:ilvl w:val="0"/>
          <w:numId w:val="9"/>
        </w:numPr>
        <w:spacing w:before="120" w:after="120"/>
        <w:ind w:firstLineChars="0"/>
        <w:jc w:val="left"/>
        <w:rPr>
          <w:rFonts w:eastAsia="Times New Roman"/>
          <w:i/>
          <w:iCs/>
          <w:sz w:val="20"/>
          <w:szCs w:val="20"/>
          <w:lang w:eastAsia="en-US"/>
        </w:rPr>
      </w:pPr>
      <w:r>
        <w:rPr>
          <w:rFonts w:eastAsia="Times New Roman"/>
          <w:i/>
          <w:iCs/>
          <w:sz w:val="20"/>
          <w:szCs w:val="20"/>
          <w:lang w:eastAsia="en-US"/>
        </w:rPr>
        <w:t>If Ng is not provided it is assumed to be 0</w:t>
      </w:r>
    </w:p>
    <w:p w:rsidR="00500BCB" w:rsidRDefault="006C1830">
      <w:pPr>
        <w:pStyle w:val="maintext"/>
        <w:spacing w:before="120" w:after="120"/>
        <w:ind w:firstLineChars="0" w:firstLine="0"/>
        <w:jc w:val="left"/>
        <w:rPr>
          <w:rFonts w:eastAsia="Times New Roman"/>
          <w:i/>
          <w:iCs/>
          <w:sz w:val="20"/>
          <w:szCs w:val="20"/>
          <w:lang w:eastAsia="en-US"/>
        </w:rPr>
      </w:pPr>
      <w:r>
        <w:rPr>
          <w:rFonts w:eastAsia="Times New Roman"/>
          <w:i/>
          <w:iCs/>
          <w:sz w:val="20"/>
          <w:szCs w:val="20"/>
          <w:lang w:eastAsia="en-US"/>
        </w:rPr>
        <w:t>NOTE: this agreement does not introduce any performance requirement on IAB nodes.</w:t>
      </w:r>
    </w:p>
    <w:p w:rsidR="00500BCB" w:rsidRDefault="006C1830">
      <w:pPr>
        <w:spacing w:before="120" w:after="120"/>
        <w:rPr>
          <w:sz w:val="20"/>
        </w:rPr>
      </w:pPr>
      <w:r>
        <w:rPr>
          <w:sz w:val="20"/>
        </w:rPr>
        <w:t>The concern was raised on the case where the parent node and IAB node may not have the common understanding about DL vs. UL and/or Tx vs. Rx upon flexible symbols where a transition between DU and MT occurs</w:t>
      </w:r>
      <w:r>
        <w:rPr>
          <w:rFonts w:hint="eastAsia"/>
          <w:sz w:val="20"/>
        </w:rPr>
        <w:t>.</w:t>
      </w:r>
      <w:r>
        <w:rPr>
          <w:sz w:val="20"/>
        </w:rPr>
        <w:t xml:space="preserve"> T</w:t>
      </w:r>
      <w:r>
        <w:rPr>
          <w:rFonts w:hint="eastAsia"/>
          <w:sz w:val="20"/>
        </w:rPr>
        <w:t>he following alternative</w:t>
      </w:r>
      <w:r>
        <w:rPr>
          <w:sz w:val="20"/>
        </w:rPr>
        <w:t xml:space="preserve"> solution</w:t>
      </w:r>
      <w:r>
        <w:rPr>
          <w:rFonts w:hint="eastAsia"/>
          <w:sz w:val="20"/>
        </w:rPr>
        <w:t>s</w:t>
      </w:r>
      <w:r>
        <w:rPr>
          <w:sz w:val="20"/>
        </w:rPr>
        <w:t xml:space="preserve"> were considered based on the agreed MAC-CE signaling</w:t>
      </w:r>
      <w:r>
        <w:rPr>
          <w:rFonts w:hint="eastAsia"/>
          <w:sz w:val="20"/>
        </w:rPr>
        <w:t>:</w:t>
      </w:r>
    </w:p>
    <w:p w:rsidR="00500BCB" w:rsidRDefault="006C1830">
      <w:pPr>
        <w:spacing w:before="120" w:after="120"/>
        <w:rPr>
          <w:sz w:val="20"/>
        </w:rPr>
      </w:pPr>
      <w:r>
        <w:rPr>
          <w:rFonts w:hint="eastAsia"/>
          <w:sz w:val="20"/>
        </w:rPr>
        <w:t>Alt 1</w:t>
      </w:r>
      <w:r>
        <w:rPr>
          <w:sz w:val="20"/>
        </w:rPr>
        <w:t>: No new specification in Rel-16 to handle the ambiguity issue with flexible symbols in DU-MT transition</w:t>
      </w:r>
      <w:r>
        <w:rPr>
          <w:rFonts w:hint="eastAsia"/>
          <w:sz w:val="20"/>
        </w:rPr>
        <w:t>.</w:t>
      </w:r>
      <w:r>
        <w:rPr>
          <w:sz w:val="20"/>
        </w:rPr>
        <w:t xml:space="preserve"> The raised concerns are handled by CU and/or parent node implementations. For example, </w:t>
      </w:r>
      <w:r>
        <w:rPr>
          <w:rFonts w:hint="eastAsia"/>
          <w:sz w:val="20"/>
        </w:rPr>
        <w:t xml:space="preserve">CU can </w:t>
      </w:r>
      <w:r>
        <w:rPr>
          <w:sz w:val="20"/>
        </w:rPr>
        <w:t>avoid configuring flexible symbols around “DU-MT transition area”,</w:t>
      </w:r>
      <w:r>
        <w:rPr>
          <w:rFonts w:hint="eastAsia"/>
          <w:sz w:val="20"/>
        </w:rPr>
        <w:t xml:space="preserve"> and parent node can </w:t>
      </w:r>
      <w:r>
        <w:rPr>
          <w:sz w:val="20"/>
        </w:rPr>
        <w:t>indicate in MAC-CE</w:t>
      </w:r>
      <w:r>
        <w:rPr>
          <w:rFonts w:hint="eastAsia"/>
          <w:sz w:val="20"/>
        </w:rPr>
        <w:t xml:space="preserve"> </w:t>
      </w:r>
      <w:r>
        <w:rPr>
          <w:sz w:val="20"/>
        </w:rPr>
        <w:t xml:space="preserve">a set of proper </w:t>
      </w:r>
      <w:r>
        <w:rPr>
          <w:rFonts w:hint="eastAsia"/>
          <w:sz w:val="20"/>
        </w:rPr>
        <w:t>number</w:t>
      </w:r>
      <w:r>
        <w:rPr>
          <w:sz w:val="20"/>
        </w:rPr>
        <w:t>s</w:t>
      </w:r>
      <w:r>
        <w:rPr>
          <w:rFonts w:hint="eastAsia"/>
          <w:sz w:val="20"/>
        </w:rPr>
        <w:t xml:space="preserve"> of </w:t>
      </w:r>
      <w:r>
        <w:rPr>
          <w:rFonts w:hint="eastAsia"/>
          <w:sz w:val="20"/>
        </w:rPr>
        <w:lastRenderedPageBreak/>
        <w:t>guard symbols</w:t>
      </w:r>
      <w:r>
        <w:rPr>
          <w:sz w:val="20"/>
        </w:rPr>
        <w:t xml:space="preserve"> (e.g., all related numbers in MAC-CE are equal to the effectively maximum) so that the ambiguity issue with flexible symbols is by-passed</w:t>
      </w:r>
      <w:r>
        <w:rPr>
          <w:rFonts w:hint="eastAsia"/>
          <w:sz w:val="20"/>
        </w:rPr>
        <w:t>.</w:t>
      </w:r>
      <w:r>
        <w:rPr>
          <w:sz w:val="20"/>
        </w:rPr>
        <w:t xml:space="preserve"> </w:t>
      </w:r>
    </w:p>
    <w:p w:rsidR="00500BCB" w:rsidRDefault="006C1830">
      <w:pPr>
        <w:spacing w:before="120" w:after="120"/>
        <w:rPr>
          <w:sz w:val="20"/>
        </w:rPr>
      </w:pPr>
      <w:r>
        <w:rPr>
          <w:rFonts w:hint="eastAsia"/>
          <w:sz w:val="20"/>
        </w:rPr>
        <w:t xml:space="preserve">Alt </w:t>
      </w:r>
      <w:r>
        <w:rPr>
          <w:sz w:val="20"/>
        </w:rPr>
        <w:t>2: To</w:t>
      </w:r>
      <w:r>
        <w:rPr>
          <w:rFonts w:hint="eastAsia"/>
          <w:sz w:val="20"/>
        </w:rPr>
        <w:t xml:space="preserve"> introduce additional rules to reserve guard symbols on DU flexible symbols.</w:t>
      </w:r>
      <w:r>
        <w:rPr>
          <w:sz w:val="20"/>
        </w:rPr>
        <w:t xml:space="preserve"> The key purpose for setting up those rules is to help one node (e.g., the parent node) to clearly know the behavior of another peer node (e.g., the IAB node). The following are some rule examples:</w:t>
      </w:r>
    </w:p>
    <w:p w:rsidR="00500BCB" w:rsidRDefault="006C1830">
      <w:pPr>
        <w:pStyle w:val="ListParagraph"/>
        <w:numPr>
          <w:ilvl w:val="0"/>
          <w:numId w:val="10"/>
        </w:numPr>
        <w:spacing w:before="120" w:after="120"/>
        <w:rPr>
          <w:sz w:val="20"/>
        </w:rPr>
      </w:pPr>
      <w:r>
        <w:rPr>
          <w:rFonts w:hint="eastAsia"/>
          <w:sz w:val="20"/>
        </w:rPr>
        <w:t xml:space="preserve">Alt </w:t>
      </w:r>
      <w:r>
        <w:rPr>
          <w:sz w:val="20"/>
        </w:rPr>
        <w:t>2</w:t>
      </w:r>
      <w:r>
        <w:rPr>
          <w:rFonts w:hint="eastAsia"/>
          <w:sz w:val="20"/>
        </w:rPr>
        <w:t>-</w:t>
      </w:r>
      <w:r>
        <w:rPr>
          <w:sz w:val="20"/>
        </w:rPr>
        <w:t>1</w:t>
      </w:r>
      <w:r>
        <w:rPr>
          <w:rFonts w:hint="eastAsia"/>
          <w:sz w:val="20"/>
        </w:rPr>
        <w:t xml:space="preserve">. </w:t>
      </w:r>
      <w:r>
        <w:rPr>
          <w:sz w:val="20"/>
        </w:rPr>
        <w:t xml:space="preserve">In case of overlapping with flexible symbols, </w:t>
      </w:r>
      <w:r>
        <w:rPr>
          <w:rFonts w:hint="eastAsia"/>
          <w:sz w:val="20"/>
        </w:rPr>
        <w:t xml:space="preserve">the </w:t>
      </w:r>
      <w:r>
        <w:rPr>
          <w:sz w:val="20"/>
        </w:rPr>
        <w:t xml:space="preserve">number of transition guard symbols </w:t>
      </w:r>
      <w:r>
        <w:rPr>
          <w:rFonts w:hint="eastAsia"/>
          <w:sz w:val="20"/>
        </w:rPr>
        <w:t>equal to the minimum</w:t>
      </w:r>
      <w:r>
        <w:rPr>
          <w:sz w:val="20"/>
        </w:rPr>
        <w:t xml:space="preserve"> or the maximum</w:t>
      </w:r>
      <w:r>
        <w:rPr>
          <w:rFonts w:hint="eastAsia"/>
          <w:sz w:val="20"/>
        </w:rPr>
        <w:t xml:space="preserve"> </w:t>
      </w:r>
      <w:r>
        <w:rPr>
          <w:sz w:val="20"/>
        </w:rPr>
        <w:t>across</w:t>
      </w:r>
      <w:r>
        <w:rPr>
          <w:rFonts w:hint="eastAsia"/>
          <w:sz w:val="20"/>
        </w:rPr>
        <w:t xml:space="preserve"> </w:t>
      </w:r>
      <w:r>
        <w:rPr>
          <w:sz w:val="20"/>
        </w:rPr>
        <w:t xml:space="preserve">all </w:t>
      </w:r>
      <w:r>
        <w:rPr>
          <w:rFonts w:hint="eastAsia"/>
          <w:sz w:val="20"/>
        </w:rPr>
        <w:t>the candidate direction combination</w:t>
      </w:r>
      <w:r>
        <w:rPr>
          <w:sz w:val="20"/>
        </w:rPr>
        <w:t>s</w:t>
      </w:r>
      <w:r>
        <w:rPr>
          <w:rFonts w:hint="eastAsia"/>
          <w:sz w:val="20"/>
        </w:rPr>
        <w:t xml:space="preserve"> or the whole table.</w:t>
      </w:r>
      <w:r>
        <w:rPr>
          <w:sz w:val="20"/>
        </w:rPr>
        <w:t xml:space="preserve"> It was recognized in RAN1 #100e meeting that both the minimum and the maximum operation have good supportive reasons with their own pros and cons.   </w:t>
      </w:r>
    </w:p>
    <w:p w:rsidR="00500BCB" w:rsidRDefault="006C1830">
      <w:pPr>
        <w:pStyle w:val="ListParagraph"/>
        <w:numPr>
          <w:ilvl w:val="0"/>
          <w:numId w:val="10"/>
        </w:numPr>
        <w:spacing w:before="120" w:after="120"/>
        <w:rPr>
          <w:sz w:val="20"/>
        </w:rPr>
      </w:pPr>
      <w:r>
        <w:rPr>
          <w:rFonts w:hint="eastAsia"/>
          <w:sz w:val="20"/>
        </w:rPr>
        <w:t xml:space="preserve">Alt </w:t>
      </w:r>
      <w:r>
        <w:rPr>
          <w:sz w:val="20"/>
        </w:rPr>
        <w:t>2</w:t>
      </w:r>
      <w:r>
        <w:rPr>
          <w:rFonts w:hint="eastAsia"/>
          <w:sz w:val="20"/>
        </w:rPr>
        <w:t>-</w:t>
      </w:r>
      <w:r>
        <w:rPr>
          <w:sz w:val="20"/>
        </w:rPr>
        <w:t xml:space="preserve">2: In case of overlapping with flexible symbols, </w:t>
      </w:r>
      <w:r>
        <w:rPr>
          <w:rFonts w:hint="eastAsia"/>
          <w:sz w:val="20"/>
        </w:rPr>
        <w:t xml:space="preserve">the </w:t>
      </w:r>
      <w:r>
        <w:rPr>
          <w:sz w:val="20"/>
        </w:rPr>
        <w:t xml:space="preserve">number of transition guard symbols is given by the MAC-CE signaling under the assumption that the flexible symbols are treated as DL symbols.  </w:t>
      </w:r>
      <w:r>
        <w:rPr>
          <w:rFonts w:hint="eastAsia"/>
          <w:sz w:val="20"/>
        </w:rPr>
        <w:t xml:space="preserve"> </w:t>
      </w:r>
    </w:p>
    <w:p w:rsidR="00500BCB" w:rsidRDefault="006C1830">
      <w:pPr>
        <w:pStyle w:val="ListParagraph"/>
        <w:numPr>
          <w:ilvl w:val="0"/>
          <w:numId w:val="10"/>
        </w:numPr>
        <w:spacing w:before="120" w:after="120"/>
        <w:rPr>
          <w:sz w:val="20"/>
        </w:rPr>
      </w:pPr>
      <w:r>
        <w:rPr>
          <w:sz w:val="20"/>
        </w:rPr>
        <w:t xml:space="preserve">Alt 2-3: In case of overlapping with flexible symbols, </w:t>
      </w:r>
      <w:r>
        <w:rPr>
          <w:rFonts w:hint="eastAsia"/>
          <w:sz w:val="20"/>
        </w:rPr>
        <w:t xml:space="preserve">the </w:t>
      </w:r>
      <w:r>
        <w:rPr>
          <w:sz w:val="20"/>
        </w:rPr>
        <w:t>number of transition guard symbols</w:t>
      </w:r>
      <w:r>
        <w:rPr>
          <w:rFonts w:hint="eastAsia"/>
          <w:sz w:val="20"/>
        </w:rPr>
        <w:t xml:space="preserve"> equal to a default value (e.g. 0).</w:t>
      </w:r>
      <w:r>
        <w:rPr>
          <w:sz w:val="20"/>
        </w:rPr>
        <w:t xml:space="preserve"> The default 0 guard symbol is an already-supported mechanism. There seems no issue to make it applicable here.  </w:t>
      </w:r>
    </w:p>
    <w:p w:rsidR="00500BCB" w:rsidRDefault="006C1830">
      <w:pPr>
        <w:spacing w:before="120" w:after="120"/>
        <w:rPr>
          <w:sz w:val="20"/>
        </w:rPr>
      </w:pPr>
      <w:r>
        <w:rPr>
          <w:sz w:val="20"/>
        </w:rPr>
        <w:t>Considering the simplicity and effectiveness of the above alternatives, we do not see the new specification is quite competitively needed, and therefore prefer to Alt1</w:t>
      </w:r>
      <w:r>
        <w:rPr>
          <w:rFonts w:hint="eastAsia"/>
          <w:sz w:val="20"/>
        </w:rPr>
        <w:t>.</w:t>
      </w:r>
    </w:p>
    <w:p w:rsidR="00500BCB" w:rsidRDefault="006C1830">
      <w:pPr>
        <w:pStyle w:val="YJ-Proposal"/>
        <w:numPr>
          <w:ilvl w:val="0"/>
          <w:numId w:val="0"/>
        </w:numPr>
        <w:spacing w:before="120" w:after="120"/>
        <w:rPr>
          <w:lang w:val="en-US" w:eastAsia="zh-CN"/>
        </w:rPr>
      </w:pPr>
      <w:bookmarkStart w:id="1" w:name="_Toc354"/>
      <w:r>
        <w:rPr>
          <w:rFonts w:hint="eastAsia"/>
          <w:szCs w:val="22"/>
          <w:lang w:val="en-US" w:eastAsia="zh-CN"/>
        </w:rPr>
        <w:t>Proposal 1:</w:t>
      </w:r>
      <w:r>
        <w:rPr>
          <w:szCs w:val="22"/>
          <w:lang w:val="en-US" w:eastAsia="zh-CN"/>
        </w:rPr>
        <w:t xml:space="preserve"> For the transition between DU and MT involving with DU flexible symbols, no new mechanism is introduced. The ambiguity issue in determination of number of guard symbols is handled by CU/parent-node implementation.</w:t>
      </w:r>
      <w:bookmarkEnd w:id="1"/>
      <w:r>
        <w:rPr>
          <w:szCs w:val="22"/>
          <w:lang w:val="en-US" w:eastAsia="zh-CN"/>
        </w:rPr>
        <w:t xml:space="preserve">  </w:t>
      </w:r>
      <w:r>
        <w:rPr>
          <w:rFonts w:hint="eastAsia"/>
          <w:szCs w:val="22"/>
          <w:lang w:val="en-US" w:eastAsia="zh-CN"/>
        </w:rPr>
        <w:t xml:space="preserve">  </w:t>
      </w:r>
    </w:p>
    <w:p w:rsidR="00500BCB" w:rsidRDefault="006C1830">
      <w:pPr>
        <w:pStyle w:val="Heading1"/>
        <w:pBdr>
          <w:top w:val="none" w:sz="0" w:space="1" w:color="auto"/>
          <w:left w:val="none" w:sz="0" w:space="4" w:color="auto"/>
          <w:bottom w:val="none" w:sz="0" w:space="1" w:color="auto"/>
          <w:right w:val="none" w:sz="0" w:space="4" w:color="auto"/>
        </w:pBdr>
        <w:spacing w:before="120" w:after="120"/>
        <w:ind w:left="0"/>
        <w:rPr>
          <w:szCs w:val="22"/>
        </w:rPr>
      </w:pPr>
      <w:bookmarkStart w:id="2" w:name="_Toc6764"/>
      <w:bookmarkStart w:id="3" w:name="_Toc24792"/>
      <w:bookmarkStart w:id="4" w:name="_Toc939"/>
      <w:bookmarkEnd w:id="2"/>
      <w:bookmarkEnd w:id="3"/>
      <w:bookmarkEnd w:id="4"/>
      <w:r>
        <w:rPr>
          <w:rFonts w:eastAsia="SimSun" w:hint="eastAsia"/>
          <w:szCs w:val="22"/>
        </w:rPr>
        <w:t xml:space="preserve">Slot format for MT </w:t>
      </w:r>
    </w:p>
    <w:p w:rsidR="00500BCB" w:rsidRDefault="006C1830">
      <w:pPr>
        <w:spacing w:before="120" w:after="120"/>
        <w:rPr>
          <w:sz w:val="20"/>
        </w:rPr>
      </w:pPr>
      <w:r>
        <w:rPr>
          <w:sz w:val="20"/>
        </w:rPr>
        <w:t xml:space="preserve">RAN1 #100bis-e </w:t>
      </w:r>
      <w:r>
        <w:rPr>
          <w:rFonts w:hint="eastAsia"/>
          <w:sz w:val="20"/>
        </w:rPr>
        <w:t xml:space="preserve">[1] </w:t>
      </w:r>
      <w:r>
        <w:rPr>
          <w:sz w:val="20"/>
        </w:rPr>
        <w:t xml:space="preserve">once agreed that, </w:t>
      </w:r>
    </w:p>
    <w:p w:rsidR="00500BCB" w:rsidRPr="00500BCB" w:rsidRDefault="006C1830">
      <w:pPr>
        <w:spacing w:before="120" w:after="120"/>
        <w:rPr>
          <w:i/>
          <w:iCs/>
          <w:sz w:val="20"/>
        </w:rPr>
      </w:pPr>
      <w:r>
        <w:rPr>
          <w:sz w:val="20"/>
          <w:highlight w:val="green"/>
          <w:lang w:eastAsia="ko-KR"/>
        </w:rPr>
        <w:t>Agreements</w:t>
      </w:r>
      <w:r>
        <w:rPr>
          <w:sz w:val="20"/>
          <w:lang w:eastAsia="ko-KR"/>
        </w:rPr>
        <w:t xml:space="preserve">: </w:t>
      </w:r>
      <w:r w:rsidR="00500BCB" w:rsidRPr="00500BCB">
        <w:rPr>
          <w:i/>
          <w:iCs/>
          <w:sz w:val="20"/>
          <w:lang w:eastAsia="ko-KR"/>
        </w:rPr>
        <w:t>TS 38.213 Section 14 should be updated with a TP capturing the following behavior when an IAB-MT is provided with tdd-UL-DL-ConfigurationDedication-IAB-MT:</w:t>
      </w:r>
    </w:p>
    <w:p w:rsidR="00500BCB" w:rsidRPr="00500BCB" w:rsidRDefault="00500BCB">
      <w:pPr>
        <w:pStyle w:val="ListParagraph"/>
        <w:numPr>
          <w:ilvl w:val="0"/>
          <w:numId w:val="11"/>
        </w:numPr>
        <w:spacing w:before="120" w:afterLines="0"/>
        <w:rPr>
          <w:i/>
          <w:iCs/>
          <w:sz w:val="20"/>
          <w:szCs w:val="20"/>
        </w:rPr>
      </w:pPr>
      <w:r w:rsidRPr="00500BCB">
        <w:rPr>
          <w:i/>
          <w:iCs/>
          <w:sz w:val="20"/>
          <w:szCs w:val="20"/>
          <w:lang w:eastAsia="ko-KR"/>
        </w:rPr>
        <w:t xml:space="preserve">Clarification that the behaviors described in Section 11.1 of 38.213 for a UE provided with tdd-UL-DL-ConfigurationDedicated </w:t>
      </w:r>
      <w:r w:rsidRPr="00500BCB">
        <w:rPr>
          <w:i/>
          <w:iCs/>
          <w:sz w:val="20"/>
          <w:szCs w:val="20"/>
        </w:rPr>
        <w:t xml:space="preserve">are also applicable </w:t>
      </w:r>
      <w:r w:rsidRPr="00500BCB">
        <w:rPr>
          <w:i/>
          <w:iCs/>
          <w:sz w:val="20"/>
          <w:szCs w:val="20"/>
          <w:lang w:eastAsia="ko-KR"/>
        </w:rPr>
        <w:t>for an IAB-node MT when provided with tdd-UL-DL-ConfigurationDedicated-IAB-MT</w:t>
      </w:r>
    </w:p>
    <w:p w:rsidR="00500BCB" w:rsidRPr="00500BCB" w:rsidRDefault="00500BCB">
      <w:pPr>
        <w:pStyle w:val="ListParagraph"/>
        <w:numPr>
          <w:ilvl w:val="0"/>
          <w:numId w:val="11"/>
        </w:numPr>
        <w:spacing w:before="120" w:afterLines="0"/>
        <w:rPr>
          <w:i/>
          <w:iCs/>
          <w:sz w:val="20"/>
          <w:szCs w:val="20"/>
        </w:rPr>
      </w:pPr>
      <w:r w:rsidRPr="00500BCB">
        <w:rPr>
          <w:i/>
          <w:iCs/>
          <w:sz w:val="20"/>
          <w:szCs w:val="20"/>
          <w:lang w:eastAsia="ko-KR"/>
        </w:rPr>
        <w:t>The IAB-node MT does not expect to be configured with both tdd-UL-DL-ConfigurationDedicated and tdd-UL-DL-ConfigurationDedicated-IAB-MT.</w:t>
      </w:r>
    </w:p>
    <w:p w:rsidR="00500BCB" w:rsidRDefault="006C1830">
      <w:pPr>
        <w:spacing w:before="120" w:after="120"/>
        <w:rPr>
          <w:sz w:val="20"/>
        </w:rPr>
      </w:pPr>
      <w:r>
        <w:rPr>
          <w:sz w:val="20"/>
        </w:rPr>
        <w:t>However, the 2</w:t>
      </w:r>
      <w:r>
        <w:rPr>
          <w:sz w:val="20"/>
          <w:vertAlign w:val="superscript"/>
        </w:rPr>
        <w:t>nd</w:t>
      </w:r>
      <w:r>
        <w:rPr>
          <w:sz w:val="20"/>
        </w:rPr>
        <w:t xml:space="preserve"> bullet was later taken out of TP. It is not clear now whether the 2</w:t>
      </w:r>
      <w:r>
        <w:rPr>
          <w:sz w:val="20"/>
          <w:vertAlign w:val="superscript"/>
        </w:rPr>
        <w:t>nd</w:t>
      </w:r>
      <w:r>
        <w:rPr>
          <w:sz w:val="20"/>
        </w:rPr>
        <w:t xml:space="preserve"> bullet is still a RAN1 agreement but just pending for how to be captured in spec (e.g., RAN1 spec vs. RAN2 spec) or the 2</w:t>
      </w:r>
      <w:r>
        <w:rPr>
          <w:sz w:val="20"/>
          <w:vertAlign w:val="superscript"/>
        </w:rPr>
        <w:t>nd</w:t>
      </w:r>
      <w:r>
        <w:rPr>
          <w:sz w:val="20"/>
        </w:rPr>
        <w:t xml:space="preserve"> bullet itself is no longer an agreement (e.g., one IAB-MT can be configured with both </w:t>
      </w:r>
      <w:r>
        <w:rPr>
          <w:sz w:val="20"/>
          <w:lang w:eastAsia="ko-KR"/>
        </w:rPr>
        <w:t>tdd-UL-DL-ConfigurationDedicated and tdd-UL-DL-ConfigurationDedicated-IAB-MT</w:t>
      </w:r>
      <w:r>
        <w:rPr>
          <w:sz w:val="20"/>
        </w:rPr>
        <w:t>). Assuming the 2</w:t>
      </w:r>
      <w:r>
        <w:rPr>
          <w:sz w:val="20"/>
          <w:vertAlign w:val="superscript"/>
        </w:rPr>
        <w:t>nd</w:t>
      </w:r>
      <w:r>
        <w:rPr>
          <w:sz w:val="20"/>
        </w:rPr>
        <w:t xml:space="preserve"> bullet is fully pending for revision, </w:t>
      </w:r>
      <w:r>
        <w:rPr>
          <w:rFonts w:hint="eastAsia"/>
          <w:sz w:val="20"/>
        </w:rPr>
        <w:t xml:space="preserve">we </w:t>
      </w:r>
      <w:r>
        <w:rPr>
          <w:sz w:val="20"/>
        </w:rPr>
        <w:t>see</w:t>
      </w:r>
      <w:r>
        <w:rPr>
          <w:rFonts w:hint="eastAsia"/>
          <w:sz w:val="20"/>
        </w:rPr>
        <w:t xml:space="preserve"> following alternatives for consideration:</w:t>
      </w:r>
    </w:p>
    <w:p w:rsidR="00500BCB" w:rsidRDefault="006C1830">
      <w:pPr>
        <w:pStyle w:val="ListParagraph"/>
        <w:numPr>
          <w:ilvl w:val="0"/>
          <w:numId w:val="12"/>
        </w:numPr>
        <w:spacing w:before="120" w:after="120"/>
        <w:jc w:val="left"/>
        <w:rPr>
          <w:sz w:val="20"/>
        </w:rPr>
      </w:pPr>
      <w:r>
        <w:rPr>
          <w:rFonts w:hint="eastAsia"/>
          <w:b/>
          <w:bCs/>
          <w:sz w:val="20"/>
        </w:rPr>
        <w:t>Alt 1</w:t>
      </w:r>
      <w:r>
        <w:rPr>
          <w:sz w:val="20"/>
        </w:rPr>
        <w:t>:</w:t>
      </w:r>
      <w:r>
        <w:rPr>
          <w:rFonts w:hint="eastAsia"/>
          <w:sz w:val="20"/>
        </w:rPr>
        <w:t xml:space="preserve"> Only one of the two </w:t>
      </w:r>
      <w:r>
        <w:rPr>
          <w:sz w:val="20"/>
        </w:rPr>
        <w:t>IEs</w:t>
      </w:r>
      <w:r>
        <w:rPr>
          <w:rFonts w:hint="eastAsia"/>
          <w:sz w:val="20"/>
        </w:rPr>
        <w:t xml:space="preserve"> can be configured. </w:t>
      </w:r>
      <w:r>
        <w:rPr>
          <w:sz w:val="20"/>
        </w:rPr>
        <w:t xml:space="preserve">This is allowed by the current IAB CR. </w:t>
      </w:r>
    </w:p>
    <w:p w:rsidR="00500BCB" w:rsidRDefault="006C1830">
      <w:pPr>
        <w:pStyle w:val="ListParagraph"/>
        <w:numPr>
          <w:ilvl w:val="0"/>
          <w:numId w:val="12"/>
        </w:numPr>
        <w:spacing w:before="120" w:after="120"/>
        <w:rPr>
          <w:sz w:val="20"/>
        </w:rPr>
      </w:pPr>
      <w:r>
        <w:rPr>
          <w:rFonts w:hint="eastAsia"/>
          <w:b/>
          <w:bCs/>
          <w:sz w:val="20"/>
        </w:rPr>
        <w:t>Alt 2</w:t>
      </w:r>
      <w:r>
        <w:rPr>
          <w:sz w:val="20"/>
        </w:rPr>
        <w:t>:</w:t>
      </w:r>
      <w:r>
        <w:rPr>
          <w:rFonts w:hint="eastAsia"/>
          <w:sz w:val="20"/>
        </w:rPr>
        <w:t xml:space="preserve"> Both IEs can be configured. </w:t>
      </w:r>
      <w:r>
        <w:rPr>
          <w:sz w:val="20"/>
        </w:rPr>
        <w:t xml:space="preserve">When this happens, which </w:t>
      </w:r>
      <w:r>
        <w:rPr>
          <w:rFonts w:hint="eastAsia"/>
          <w:sz w:val="20"/>
        </w:rPr>
        <w:t>I</w:t>
      </w:r>
      <w:r>
        <w:rPr>
          <w:sz w:val="20"/>
        </w:rPr>
        <w:t>E takes effect (under what condition) needs further RAN1 discussion and potential specification efforts</w:t>
      </w:r>
      <w:r>
        <w:rPr>
          <w:rFonts w:hint="eastAsia"/>
          <w:sz w:val="20"/>
        </w:rPr>
        <w:t>.</w:t>
      </w:r>
    </w:p>
    <w:p w:rsidR="00500BCB" w:rsidRDefault="006C1830">
      <w:pPr>
        <w:spacing w:before="120" w:after="120"/>
        <w:rPr>
          <w:sz w:val="20"/>
        </w:rPr>
      </w:pPr>
      <w:r>
        <w:rPr>
          <w:sz w:val="20"/>
        </w:rPr>
        <w:t xml:space="preserve">While it could be in RAN2 discussion scope which of above two alternatives is better, both alternatives have a common ground in RAN1: </w:t>
      </w:r>
      <w:r>
        <w:rPr>
          <w:b/>
          <w:i/>
          <w:sz w:val="20"/>
        </w:rPr>
        <w:t>RAN1 does not expect both IEs can take effect at the same time.</w:t>
      </w:r>
      <w:r>
        <w:rPr>
          <w:sz w:val="20"/>
        </w:rPr>
        <w:t xml:space="preserve"> </w:t>
      </w:r>
    </w:p>
    <w:p w:rsidR="00500BCB" w:rsidRDefault="006C1830">
      <w:pPr>
        <w:pStyle w:val="YJ-Proposal"/>
        <w:numPr>
          <w:ilvl w:val="0"/>
          <w:numId w:val="0"/>
        </w:numPr>
        <w:spacing w:before="120" w:after="120"/>
        <w:rPr>
          <w:szCs w:val="22"/>
          <w:lang w:val="en-US" w:eastAsia="zh-CN"/>
        </w:rPr>
      </w:pPr>
      <w:bookmarkStart w:id="5" w:name="_Toc13662"/>
      <w:r>
        <w:rPr>
          <w:rFonts w:hint="eastAsia"/>
          <w:szCs w:val="22"/>
          <w:lang w:val="en-US" w:eastAsia="zh-CN"/>
        </w:rPr>
        <w:t>Proposal 2:</w:t>
      </w:r>
      <w:r>
        <w:rPr>
          <w:szCs w:val="22"/>
          <w:lang w:val="en-US" w:eastAsia="zh-CN"/>
        </w:rPr>
        <w:t xml:space="preserve"> RAN1 decides between the following two options, and </w:t>
      </w:r>
      <w:r>
        <w:rPr>
          <w:lang w:eastAsia="ko-KR"/>
        </w:rPr>
        <w:t>send LS to RAN2 if necessary</w:t>
      </w:r>
      <w:r>
        <w:rPr>
          <w:szCs w:val="22"/>
          <w:lang w:val="en-US" w:eastAsia="zh-CN"/>
        </w:rPr>
        <w:t xml:space="preserve">. </w:t>
      </w:r>
    </w:p>
    <w:p w:rsidR="00500BCB" w:rsidRDefault="006C1830">
      <w:pPr>
        <w:pStyle w:val="YJ-Proposal"/>
        <w:numPr>
          <w:ilvl w:val="0"/>
          <w:numId w:val="13"/>
        </w:numPr>
        <w:spacing w:before="120" w:after="120"/>
        <w:rPr>
          <w:lang w:val="en-US" w:eastAsia="zh-CN"/>
        </w:rPr>
      </w:pPr>
      <w:r>
        <w:rPr>
          <w:szCs w:val="22"/>
          <w:lang w:val="en-US" w:eastAsia="zh-CN"/>
        </w:rPr>
        <w:t xml:space="preserve">Opt-1: </w:t>
      </w:r>
      <w:r>
        <w:rPr>
          <w:lang w:eastAsia="ko-KR"/>
        </w:rPr>
        <w:t>IAB-node MT does not expect to be configured with both tdd-UL-DL-ConfigurationDedicated and tdd-UL-DL-ConfigurationDedicated-IAB-MT. (This is the agreement once reached in RAN1 #100bis-e)</w:t>
      </w:r>
    </w:p>
    <w:p w:rsidR="00500BCB" w:rsidRDefault="006C1830">
      <w:pPr>
        <w:pStyle w:val="YJ-Proposal"/>
        <w:numPr>
          <w:ilvl w:val="0"/>
          <w:numId w:val="13"/>
        </w:numPr>
        <w:spacing w:before="120" w:after="120"/>
        <w:rPr>
          <w:lang w:val="en-US" w:eastAsia="zh-CN"/>
        </w:rPr>
      </w:pPr>
      <w:r>
        <w:rPr>
          <w:szCs w:val="22"/>
          <w:lang w:val="en-US" w:eastAsia="zh-CN"/>
        </w:rPr>
        <w:t>Opt-2:</w:t>
      </w:r>
      <w:bookmarkEnd w:id="5"/>
      <w:r>
        <w:rPr>
          <w:lang w:eastAsia="ko-KR"/>
        </w:rPr>
        <w:t xml:space="preserve"> IAB-node MT does not expect a moment at which both tdd-UL-DL-ConfigurationDedicated and tdd-UL-DL-ConfigurationDedicated-IAB-MT take effects. </w:t>
      </w:r>
    </w:p>
    <w:p w:rsidR="00500BCB" w:rsidRDefault="006C1830">
      <w:pPr>
        <w:pStyle w:val="YJ-Proposal"/>
        <w:numPr>
          <w:ilvl w:val="255"/>
          <w:numId w:val="0"/>
        </w:numPr>
        <w:spacing w:before="120" w:after="120"/>
        <w:rPr>
          <w:rFonts w:eastAsia="SimSun"/>
          <w:b w:val="0"/>
          <w:bCs w:val="0"/>
          <w:i w:val="0"/>
          <w:iCs w:val="0"/>
          <w:szCs w:val="22"/>
          <w:lang w:val="en-US" w:eastAsia="zh-CN"/>
        </w:rPr>
      </w:pPr>
      <w:r>
        <w:rPr>
          <w:rFonts w:eastAsia="SimSun" w:hint="eastAsia"/>
          <w:b w:val="0"/>
          <w:bCs w:val="0"/>
          <w:i w:val="0"/>
          <w:iCs w:val="0"/>
          <w:szCs w:val="22"/>
          <w:lang w:val="en-US" w:eastAsia="zh-CN"/>
        </w:rPr>
        <w:lastRenderedPageBreak/>
        <w:t xml:space="preserve"> </w:t>
      </w:r>
    </w:p>
    <w:p w:rsidR="00500BCB" w:rsidRDefault="006C1830">
      <w:pPr>
        <w:pStyle w:val="Heading1"/>
        <w:spacing w:before="120" w:after="120"/>
        <w:ind w:left="0"/>
        <w:rPr>
          <w:rFonts w:eastAsia="SimSun"/>
        </w:rPr>
      </w:pPr>
      <w:bookmarkStart w:id="6" w:name="_Toc8335"/>
      <w:bookmarkStart w:id="7" w:name="_Toc30716"/>
      <w:bookmarkStart w:id="8" w:name="_Toc19141"/>
      <w:bookmarkEnd w:id="6"/>
      <w:bookmarkEnd w:id="7"/>
      <w:bookmarkEnd w:id="8"/>
      <w:r>
        <w:rPr>
          <w:rFonts w:eastAsia="SimSun" w:hint="eastAsia"/>
        </w:rPr>
        <w:t>Conclusion</w:t>
      </w:r>
    </w:p>
    <w:p w:rsidR="00500BCB" w:rsidRDefault="006C1830">
      <w:pPr>
        <w:tabs>
          <w:tab w:val="left" w:pos="2520"/>
        </w:tabs>
        <w:spacing w:before="120" w:after="120"/>
        <w:rPr>
          <w:sz w:val="20"/>
        </w:rPr>
      </w:pPr>
      <w:r>
        <w:rPr>
          <w:rFonts w:hint="eastAsia"/>
          <w:sz w:val="20"/>
        </w:rPr>
        <w:t>According to the discussion above, we provide the following proposal</w:t>
      </w:r>
      <w:r>
        <w:rPr>
          <w:sz w:val="20"/>
        </w:rPr>
        <w:t>s</w:t>
      </w:r>
      <w:r>
        <w:rPr>
          <w:rFonts w:hint="eastAsia"/>
          <w:sz w:val="20"/>
        </w:rPr>
        <w:t xml:space="preserve"> on resource multiplexing of IAB:</w:t>
      </w:r>
    </w:p>
    <w:p w:rsidR="00500BCB" w:rsidRDefault="006C1830">
      <w:pPr>
        <w:pStyle w:val="YJ-Proposal"/>
        <w:numPr>
          <w:ilvl w:val="0"/>
          <w:numId w:val="0"/>
        </w:numPr>
        <w:spacing w:before="120" w:after="120"/>
        <w:rPr>
          <w:lang w:val="en-US" w:eastAsia="zh-CN"/>
        </w:rPr>
      </w:pPr>
      <w:r>
        <w:rPr>
          <w:rFonts w:hint="eastAsia"/>
          <w:szCs w:val="22"/>
          <w:lang w:val="en-US" w:eastAsia="zh-CN"/>
        </w:rPr>
        <w:t>Proposal 1:</w:t>
      </w:r>
      <w:r>
        <w:rPr>
          <w:szCs w:val="22"/>
          <w:lang w:val="en-US" w:eastAsia="zh-CN"/>
        </w:rPr>
        <w:t xml:space="preserve"> For the transition between DU and MT involving with DU flexible symbols, no new mechanism is introduced. The ambiguity issue in determination of number of guard symbols is handled by CU/parent-node implementation.  </w:t>
      </w:r>
      <w:r>
        <w:rPr>
          <w:rFonts w:hint="eastAsia"/>
          <w:szCs w:val="22"/>
          <w:lang w:val="en-US" w:eastAsia="zh-CN"/>
        </w:rPr>
        <w:t xml:space="preserve">  </w:t>
      </w:r>
    </w:p>
    <w:p w:rsidR="00500BCB" w:rsidRDefault="006C1830">
      <w:pPr>
        <w:pStyle w:val="YJ-Proposal"/>
        <w:numPr>
          <w:ilvl w:val="0"/>
          <w:numId w:val="0"/>
        </w:numPr>
        <w:spacing w:before="120" w:after="120"/>
        <w:rPr>
          <w:szCs w:val="22"/>
          <w:lang w:val="en-US" w:eastAsia="zh-CN"/>
        </w:rPr>
      </w:pPr>
      <w:r>
        <w:rPr>
          <w:rFonts w:hint="eastAsia"/>
          <w:szCs w:val="22"/>
          <w:lang w:val="en-US" w:eastAsia="zh-CN"/>
        </w:rPr>
        <w:t>Proposal 2:</w:t>
      </w:r>
      <w:r>
        <w:rPr>
          <w:szCs w:val="22"/>
          <w:lang w:val="en-US" w:eastAsia="zh-CN"/>
        </w:rPr>
        <w:t xml:space="preserve"> RAN1 decides between the following two options, and </w:t>
      </w:r>
      <w:r>
        <w:rPr>
          <w:lang w:eastAsia="ko-KR"/>
        </w:rPr>
        <w:t>send LS to RAN2 if necessary</w:t>
      </w:r>
      <w:r>
        <w:rPr>
          <w:szCs w:val="22"/>
          <w:lang w:val="en-US" w:eastAsia="zh-CN"/>
        </w:rPr>
        <w:t xml:space="preserve">. </w:t>
      </w:r>
    </w:p>
    <w:p w:rsidR="00500BCB" w:rsidRDefault="006C1830">
      <w:pPr>
        <w:pStyle w:val="YJ-Proposal"/>
        <w:numPr>
          <w:ilvl w:val="0"/>
          <w:numId w:val="13"/>
        </w:numPr>
        <w:spacing w:before="120" w:after="120"/>
        <w:rPr>
          <w:lang w:val="en-US" w:eastAsia="zh-CN"/>
        </w:rPr>
      </w:pPr>
      <w:r>
        <w:rPr>
          <w:szCs w:val="22"/>
          <w:lang w:val="en-US" w:eastAsia="zh-CN"/>
        </w:rPr>
        <w:t xml:space="preserve">Opt-1: </w:t>
      </w:r>
      <w:r>
        <w:rPr>
          <w:lang w:eastAsia="ko-KR"/>
        </w:rPr>
        <w:t>IAB-node MT does not expect to be configured with both tdd-UL-DL-ConfigurationDedicated and tdd-UL-DL-ConfigurationDedicated-IAB-MT. (This is the agreement once reached in RAN1 #100bis-e)</w:t>
      </w:r>
    </w:p>
    <w:p w:rsidR="00500BCB" w:rsidRDefault="006C1830">
      <w:pPr>
        <w:pStyle w:val="YJ-Proposal"/>
        <w:numPr>
          <w:ilvl w:val="0"/>
          <w:numId w:val="13"/>
        </w:numPr>
        <w:spacing w:before="120" w:after="120"/>
        <w:rPr>
          <w:lang w:val="en-US" w:eastAsia="zh-CN"/>
        </w:rPr>
      </w:pPr>
      <w:r>
        <w:rPr>
          <w:szCs w:val="22"/>
          <w:lang w:val="en-US" w:eastAsia="zh-CN"/>
        </w:rPr>
        <w:t>Opt-2:</w:t>
      </w:r>
      <w:r>
        <w:rPr>
          <w:lang w:eastAsia="ko-KR"/>
        </w:rPr>
        <w:t xml:space="preserve"> IAB-node MT does not expect a moment at which both tdd-UL-DL-ConfigurationDedicated and tdd-UL-DL-ConfigurationDedicated-IAB-MT take effects. </w:t>
      </w:r>
    </w:p>
    <w:p w:rsidR="00500BCB" w:rsidRDefault="006C1830">
      <w:pPr>
        <w:pStyle w:val="Heading1"/>
        <w:spacing w:before="120" w:after="120"/>
        <w:ind w:left="0"/>
        <w:rPr>
          <w:rFonts w:eastAsia="SimSun"/>
        </w:rPr>
      </w:pPr>
      <w:r>
        <w:rPr>
          <w:rFonts w:eastAsia="SimSun" w:hint="eastAsia"/>
        </w:rPr>
        <w:t>Reference</w:t>
      </w:r>
      <w:r>
        <w:rPr>
          <w:rFonts w:eastAsia="SimSun"/>
        </w:rPr>
        <w:t>s</w:t>
      </w:r>
    </w:p>
    <w:p w:rsidR="00500BCB" w:rsidRDefault="006C1830">
      <w:pPr>
        <w:pStyle w:val="References"/>
        <w:spacing w:before="120" w:after="120"/>
        <w:ind w:left="363" w:hanging="363"/>
      </w:pPr>
      <w:bookmarkStart w:id="9" w:name="_Ref6480"/>
      <w:bookmarkStart w:id="10" w:name="_Ref17466"/>
      <w:r>
        <w:rPr>
          <w:rFonts w:hint="eastAsia"/>
          <w:szCs w:val="20"/>
        </w:rPr>
        <w:t>R</w:t>
      </w:r>
      <w:bookmarkEnd w:id="9"/>
      <w:bookmarkEnd w:id="10"/>
      <w:r>
        <w:rPr>
          <w:rFonts w:hint="eastAsia"/>
          <w:szCs w:val="20"/>
        </w:rPr>
        <w:t xml:space="preserve">AN1 </w:t>
      </w:r>
      <w:r>
        <w:rPr>
          <w:szCs w:val="20"/>
        </w:rPr>
        <w:t xml:space="preserve">#100bis-e </w:t>
      </w:r>
      <w:r>
        <w:rPr>
          <w:rFonts w:hint="eastAsia"/>
          <w:szCs w:val="20"/>
        </w:rPr>
        <w:t>chairman notes</w:t>
      </w:r>
    </w:p>
    <w:p w:rsidR="00500BCB" w:rsidRDefault="00500BCB">
      <w:pPr>
        <w:spacing w:beforeLines="0" w:afterLines="0"/>
        <w:jc w:val="left"/>
      </w:pPr>
    </w:p>
    <w:sectPr w:rsidR="00500BCB" w:rsidSect="00500BCB">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2C1B" w:rsidRDefault="00912C1B" w:rsidP="006C1830">
      <w:pPr>
        <w:spacing w:before="120" w:after="120" w:line="240" w:lineRule="auto"/>
      </w:pPr>
      <w:r>
        <w:separator/>
      </w:r>
    </w:p>
  </w:endnote>
  <w:endnote w:type="continuationSeparator" w:id="0">
    <w:p w:rsidR="00912C1B" w:rsidRDefault="00912C1B" w:rsidP="006C1830">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BCB" w:rsidRDefault="00500BCB">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0305"/>
      <w:docPartObj>
        <w:docPartGallery w:val="Page Numbers (Bottom of Page)"/>
        <w:docPartUnique/>
      </w:docPartObj>
    </w:sdtPr>
    <w:sdtContent>
      <w:p w:rsidR="006C1830" w:rsidRDefault="00F02BE2" w:rsidP="006C1830">
        <w:pPr>
          <w:pStyle w:val="Footer"/>
          <w:spacing w:before="120" w:after="120"/>
          <w:jc w:val="center"/>
        </w:pPr>
        <w:r>
          <w:fldChar w:fldCharType="begin"/>
        </w:r>
        <w:r w:rsidR="00912C1B">
          <w:instrText xml:space="preserve"> PAGE   \* MERGEFORMAT </w:instrText>
        </w:r>
        <w:r>
          <w:fldChar w:fldCharType="separate"/>
        </w:r>
        <w:r w:rsidR="00644D08">
          <w:rPr>
            <w:noProof/>
          </w:rPr>
          <w:t>2</w:t>
        </w:r>
        <w:r>
          <w:rPr>
            <w:noProof/>
          </w:rPr>
          <w:fldChar w:fldCharType="end"/>
        </w:r>
      </w:p>
    </w:sdtContent>
  </w:sdt>
  <w:p w:rsidR="00500BCB" w:rsidRDefault="00500BCB">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BCB" w:rsidRDefault="00500BCB">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2C1B" w:rsidRDefault="00912C1B" w:rsidP="006C1830">
      <w:pPr>
        <w:spacing w:before="120" w:after="120" w:line="240" w:lineRule="auto"/>
      </w:pPr>
      <w:r>
        <w:separator/>
      </w:r>
    </w:p>
  </w:footnote>
  <w:footnote w:type="continuationSeparator" w:id="0">
    <w:p w:rsidR="00912C1B" w:rsidRDefault="00912C1B" w:rsidP="006C1830">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BCB" w:rsidRDefault="00500BCB">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BCB" w:rsidRDefault="00500BCB">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BCB" w:rsidRDefault="00500BCB">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nsid w:val="17EE4182"/>
    <w:multiLevelType w:val="multilevel"/>
    <w:tmpl w:val="17EE41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394D7190"/>
    <w:multiLevelType w:val="multilevel"/>
    <w:tmpl w:val="394D71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nsid w:val="44610DFB"/>
    <w:multiLevelType w:val="multilevel"/>
    <w:tmpl w:val="44610DFB"/>
    <w:lvl w:ilvl="0">
      <w:start w:val="1"/>
      <w:numFmt w:val="bullet"/>
      <w:lvlText w:val=""/>
      <w:lvlJc w:val="left"/>
      <w:pPr>
        <w:ind w:left="780" w:hanging="360"/>
      </w:pPr>
      <w:rPr>
        <w:rFonts w:ascii="Symbol" w:hAnsi="Symbol" w:cs="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9">
    <w:nsid w:val="558E7CDD"/>
    <w:multiLevelType w:val="multilevel"/>
    <w:tmpl w:val="558E7CDD"/>
    <w:lvl w:ilvl="0">
      <w:start w:val="1"/>
      <w:numFmt w:val="bullet"/>
      <w:lvlText w:val=""/>
      <w:lvlJc w:val="left"/>
      <w:pPr>
        <w:ind w:left="360" w:hanging="360"/>
      </w:pPr>
      <w:rPr>
        <w:rFonts w:ascii="Symbol" w:eastAsia="Times New Roman" w:hAnsi="Symbol"/>
      </w:rPr>
    </w:lvl>
    <w:lvl w:ilvl="1">
      <w:start w:val="1"/>
      <w:numFmt w:val="bullet"/>
      <w:lvlText w:val=""/>
      <w:lvlJc w:val="left"/>
      <w:pPr>
        <w:ind w:left="1080" w:hanging="360"/>
      </w:pPr>
      <w:rPr>
        <w:rFonts w:ascii="Symbol" w:eastAsia="Times New Roman" w:hAnsi="Symbol"/>
      </w:rPr>
    </w:lvl>
    <w:lvl w:ilvl="2">
      <w:start w:val="1"/>
      <w:numFmt w:val="bullet"/>
      <w:lvlText w:val=""/>
      <w:lvlJc w:val="left"/>
      <w:pPr>
        <w:ind w:left="1800" w:hanging="360"/>
      </w:pPr>
      <w:rPr>
        <w:rFonts w:ascii="Wingdings" w:eastAsia="Times New Roman" w:hAnsi="Wingdings"/>
      </w:rPr>
    </w:lvl>
    <w:lvl w:ilvl="3">
      <w:start w:val="1"/>
      <w:numFmt w:val="bullet"/>
      <w:lvlText w:val=""/>
      <w:lvlJc w:val="left"/>
      <w:pPr>
        <w:ind w:left="2520" w:hanging="360"/>
      </w:pPr>
      <w:rPr>
        <w:rFonts w:ascii="Symbol" w:eastAsia="Times New Roman" w:hAnsi="Symbol"/>
      </w:rPr>
    </w:lvl>
    <w:lvl w:ilvl="4">
      <w:start w:val="1"/>
      <w:numFmt w:val="bullet"/>
      <w:lvlText w:val="o"/>
      <w:lvlJc w:val="left"/>
      <w:pPr>
        <w:ind w:left="3240" w:hanging="360"/>
      </w:pPr>
      <w:rPr>
        <w:rFonts w:ascii="Courier New" w:eastAsia="Times New Roman" w:hAnsi="Courier New"/>
      </w:rPr>
    </w:lvl>
    <w:lvl w:ilvl="5">
      <w:start w:val="1"/>
      <w:numFmt w:val="bullet"/>
      <w:lvlText w:val=""/>
      <w:lvlJc w:val="left"/>
      <w:pPr>
        <w:ind w:left="3960" w:hanging="360"/>
      </w:pPr>
      <w:rPr>
        <w:rFonts w:ascii="Wingdings" w:eastAsia="Times New Roman" w:hAnsi="Wingdings"/>
      </w:rPr>
    </w:lvl>
    <w:lvl w:ilvl="6">
      <w:start w:val="1"/>
      <w:numFmt w:val="bullet"/>
      <w:lvlText w:val=""/>
      <w:lvlJc w:val="left"/>
      <w:pPr>
        <w:ind w:left="4680" w:hanging="360"/>
      </w:pPr>
      <w:rPr>
        <w:rFonts w:ascii="Symbol" w:eastAsia="Times New Roman" w:hAnsi="Symbol"/>
      </w:rPr>
    </w:lvl>
    <w:lvl w:ilvl="7">
      <w:start w:val="1"/>
      <w:numFmt w:val="bullet"/>
      <w:lvlText w:val="o"/>
      <w:lvlJc w:val="left"/>
      <w:pPr>
        <w:ind w:left="5400" w:hanging="360"/>
      </w:pPr>
      <w:rPr>
        <w:rFonts w:ascii="Courier New" w:eastAsia="Times New Roman" w:hAnsi="Courier New"/>
      </w:rPr>
    </w:lvl>
    <w:lvl w:ilvl="8">
      <w:start w:val="1"/>
      <w:numFmt w:val="bullet"/>
      <w:lvlText w:val=""/>
      <w:lvlJc w:val="left"/>
      <w:pPr>
        <w:ind w:left="6120" w:hanging="360"/>
      </w:pPr>
      <w:rPr>
        <w:rFonts w:ascii="Wingdings" w:eastAsia="Times New Roman" w:hAnsi="Wingdings"/>
      </w:rPr>
    </w:lvl>
  </w:abstractNum>
  <w:abstractNum w:abstractNumId="10">
    <w:nsid w:val="5C3C2F9A"/>
    <w:multiLevelType w:val="multilevel"/>
    <w:tmpl w:val="5C3C2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bCs/>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11"/>
  </w:num>
  <w:num w:numId="3">
    <w:abstractNumId w:val="0"/>
  </w:num>
  <w:num w:numId="4">
    <w:abstractNumId w:val="2"/>
  </w:num>
  <w:num w:numId="5">
    <w:abstractNumId w:val="12"/>
  </w:num>
  <w:num w:numId="6">
    <w:abstractNumId w:val="1"/>
  </w:num>
  <w:num w:numId="7">
    <w:abstractNumId w:val="8"/>
  </w:num>
  <w:num w:numId="8">
    <w:abstractNumId w:val="6"/>
  </w:num>
  <w:num w:numId="9">
    <w:abstractNumId w:val="9"/>
  </w:num>
  <w:num w:numId="10">
    <w:abstractNumId w:val="4"/>
  </w:num>
  <w:num w:numId="11">
    <w:abstractNumId w:val="7"/>
  </w:num>
  <w:num w:numId="12">
    <w:abstractNumId w:val="10"/>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2562E"/>
    <w:rsid w:val="00027F1E"/>
    <w:rsid w:val="00052788"/>
    <w:rsid w:val="001232D4"/>
    <w:rsid w:val="001624CD"/>
    <w:rsid w:val="00172A27"/>
    <w:rsid w:val="00257880"/>
    <w:rsid w:val="002B69E3"/>
    <w:rsid w:val="002D3394"/>
    <w:rsid w:val="002E5FB1"/>
    <w:rsid w:val="00316A30"/>
    <w:rsid w:val="00345220"/>
    <w:rsid w:val="00356615"/>
    <w:rsid w:val="00390DF0"/>
    <w:rsid w:val="003B3563"/>
    <w:rsid w:val="003C63A8"/>
    <w:rsid w:val="004A60A2"/>
    <w:rsid w:val="004D3384"/>
    <w:rsid w:val="00500BCB"/>
    <w:rsid w:val="005039B7"/>
    <w:rsid w:val="00516A66"/>
    <w:rsid w:val="0052359B"/>
    <w:rsid w:val="005246E7"/>
    <w:rsid w:val="00541A4E"/>
    <w:rsid w:val="00545F29"/>
    <w:rsid w:val="00553DD5"/>
    <w:rsid w:val="005636C0"/>
    <w:rsid w:val="00563EBB"/>
    <w:rsid w:val="0059363A"/>
    <w:rsid w:val="005B065E"/>
    <w:rsid w:val="005B6DE3"/>
    <w:rsid w:val="00623393"/>
    <w:rsid w:val="00626ECE"/>
    <w:rsid w:val="00644D08"/>
    <w:rsid w:val="00672F4C"/>
    <w:rsid w:val="00690F99"/>
    <w:rsid w:val="006A094C"/>
    <w:rsid w:val="006A6DCC"/>
    <w:rsid w:val="006B15D1"/>
    <w:rsid w:val="006C1830"/>
    <w:rsid w:val="006D4629"/>
    <w:rsid w:val="006E7B88"/>
    <w:rsid w:val="0070297F"/>
    <w:rsid w:val="007665DF"/>
    <w:rsid w:val="007B04BC"/>
    <w:rsid w:val="007C009E"/>
    <w:rsid w:val="007E7055"/>
    <w:rsid w:val="007F1BE6"/>
    <w:rsid w:val="00816AFB"/>
    <w:rsid w:val="008263E5"/>
    <w:rsid w:val="0083140F"/>
    <w:rsid w:val="00852E61"/>
    <w:rsid w:val="00860A0F"/>
    <w:rsid w:val="0088133B"/>
    <w:rsid w:val="00896CFA"/>
    <w:rsid w:val="008B5FB1"/>
    <w:rsid w:val="00912C1B"/>
    <w:rsid w:val="009521F1"/>
    <w:rsid w:val="0096044C"/>
    <w:rsid w:val="00970BF7"/>
    <w:rsid w:val="009B2134"/>
    <w:rsid w:val="00A224BC"/>
    <w:rsid w:val="00AA1629"/>
    <w:rsid w:val="00AB341D"/>
    <w:rsid w:val="00AF3719"/>
    <w:rsid w:val="00B37037"/>
    <w:rsid w:val="00B46FFB"/>
    <w:rsid w:val="00B7555D"/>
    <w:rsid w:val="00BD7545"/>
    <w:rsid w:val="00BE1617"/>
    <w:rsid w:val="00BE18E1"/>
    <w:rsid w:val="00BE43B9"/>
    <w:rsid w:val="00C70860"/>
    <w:rsid w:val="00C95A38"/>
    <w:rsid w:val="00CB0B03"/>
    <w:rsid w:val="00D24438"/>
    <w:rsid w:val="00DC1D12"/>
    <w:rsid w:val="00DC6400"/>
    <w:rsid w:val="00DE63C1"/>
    <w:rsid w:val="00E25964"/>
    <w:rsid w:val="00E32D38"/>
    <w:rsid w:val="00E4276A"/>
    <w:rsid w:val="00E521B1"/>
    <w:rsid w:val="00E57AC4"/>
    <w:rsid w:val="00F02BE2"/>
    <w:rsid w:val="00F52A83"/>
    <w:rsid w:val="00F81C17"/>
    <w:rsid w:val="00FB3C0F"/>
    <w:rsid w:val="00FD2DE4"/>
    <w:rsid w:val="01764F01"/>
    <w:rsid w:val="01876AF7"/>
    <w:rsid w:val="01A24378"/>
    <w:rsid w:val="01BB204B"/>
    <w:rsid w:val="023A7E5D"/>
    <w:rsid w:val="024D6B6A"/>
    <w:rsid w:val="02751E2C"/>
    <w:rsid w:val="029B04E7"/>
    <w:rsid w:val="02A549AD"/>
    <w:rsid w:val="02EE40B6"/>
    <w:rsid w:val="03073BDC"/>
    <w:rsid w:val="033F44DC"/>
    <w:rsid w:val="03B13DEA"/>
    <w:rsid w:val="03E37A5C"/>
    <w:rsid w:val="04225BC0"/>
    <w:rsid w:val="044D7F0D"/>
    <w:rsid w:val="048940FA"/>
    <w:rsid w:val="0555228E"/>
    <w:rsid w:val="05856413"/>
    <w:rsid w:val="059D1E39"/>
    <w:rsid w:val="05A278A8"/>
    <w:rsid w:val="05E078B3"/>
    <w:rsid w:val="06C54C67"/>
    <w:rsid w:val="06D50911"/>
    <w:rsid w:val="06D6577F"/>
    <w:rsid w:val="06DA4D4C"/>
    <w:rsid w:val="071D167C"/>
    <w:rsid w:val="073A47AF"/>
    <w:rsid w:val="077D0583"/>
    <w:rsid w:val="07954073"/>
    <w:rsid w:val="079724D0"/>
    <w:rsid w:val="079E23A9"/>
    <w:rsid w:val="07C64F6B"/>
    <w:rsid w:val="07C82A90"/>
    <w:rsid w:val="082A352F"/>
    <w:rsid w:val="08A55ED7"/>
    <w:rsid w:val="08C349D1"/>
    <w:rsid w:val="08D147B4"/>
    <w:rsid w:val="09354BDA"/>
    <w:rsid w:val="096952A6"/>
    <w:rsid w:val="096E0747"/>
    <w:rsid w:val="09972C4E"/>
    <w:rsid w:val="099A4C25"/>
    <w:rsid w:val="09F67CD5"/>
    <w:rsid w:val="0A1C4D5C"/>
    <w:rsid w:val="0A1E0BD1"/>
    <w:rsid w:val="0A2A3B5C"/>
    <w:rsid w:val="0AAE4D33"/>
    <w:rsid w:val="0AD0416B"/>
    <w:rsid w:val="0AD07E35"/>
    <w:rsid w:val="0AEA7216"/>
    <w:rsid w:val="0B732094"/>
    <w:rsid w:val="0B870DDB"/>
    <w:rsid w:val="0B884441"/>
    <w:rsid w:val="0B8F54B6"/>
    <w:rsid w:val="0B9E71DF"/>
    <w:rsid w:val="0BB04D20"/>
    <w:rsid w:val="0C900C57"/>
    <w:rsid w:val="0C935E91"/>
    <w:rsid w:val="0C9D30C2"/>
    <w:rsid w:val="0CBF1554"/>
    <w:rsid w:val="0D0F6620"/>
    <w:rsid w:val="0D167A71"/>
    <w:rsid w:val="0D297F0F"/>
    <w:rsid w:val="0D746A50"/>
    <w:rsid w:val="0D784804"/>
    <w:rsid w:val="0DB6345E"/>
    <w:rsid w:val="0DCD3EA6"/>
    <w:rsid w:val="0E172BD0"/>
    <w:rsid w:val="0E1D7B7F"/>
    <w:rsid w:val="0E7F55B8"/>
    <w:rsid w:val="0EC71015"/>
    <w:rsid w:val="0EC96BBA"/>
    <w:rsid w:val="0EDA1A8F"/>
    <w:rsid w:val="0F310742"/>
    <w:rsid w:val="0F4D2174"/>
    <w:rsid w:val="0F63585D"/>
    <w:rsid w:val="0F69111E"/>
    <w:rsid w:val="102B1D21"/>
    <w:rsid w:val="10770D42"/>
    <w:rsid w:val="10A36FD2"/>
    <w:rsid w:val="10A50104"/>
    <w:rsid w:val="10B20ACD"/>
    <w:rsid w:val="10E40B4A"/>
    <w:rsid w:val="112724B2"/>
    <w:rsid w:val="115B3410"/>
    <w:rsid w:val="1174440C"/>
    <w:rsid w:val="119229B8"/>
    <w:rsid w:val="119D7849"/>
    <w:rsid w:val="11C23280"/>
    <w:rsid w:val="121248A4"/>
    <w:rsid w:val="1242135C"/>
    <w:rsid w:val="127565D6"/>
    <w:rsid w:val="128A7265"/>
    <w:rsid w:val="12B945C1"/>
    <w:rsid w:val="13301ADB"/>
    <w:rsid w:val="13317CD1"/>
    <w:rsid w:val="1350063D"/>
    <w:rsid w:val="136019A1"/>
    <w:rsid w:val="138802B4"/>
    <w:rsid w:val="1389040E"/>
    <w:rsid w:val="138F18CE"/>
    <w:rsid w:val="139E0A9C"/>
    <w:rsid w:val="139F2F93"/>
    <w:rsid w:val="13A1683F"/>
    <w:rsid w:val="13AE5627"/>
    <w:rsid w:val="13EB14DD"/>
    <w:rsid w:val="143B2D27"/>
    <w:rsid w:val="149A0294"/>
    <w:rsid w:val="14A327A9"/>
    <w:rsid w:val="14DA3DA1"/>
    <w:rsid w:val="151B6169"/>
    <w:rsid w:val="154178EA"/>
    <w:rsid w:val="15820826"/>
    <w:rsid w:val="15970CB0"/>
    <w:rsid w:val="15BC2DFB"/>
    <w:rsid w:val="15DC4D4B"/>
    <w:rsid w:val="16465B94"/>
    <w:rsid w:val="1687278D"/>
    <w:rsid w:val="168B40B5"/>
    <w:rsid w:val="16BE13E9"/>
    <w:rsid w:val="16FB5F3B"/>
    <w:rsid w:val="17155857"/>
    <w:rsid w:val="171A3DA7"/>
    <w:rsid w:val="178D0926"/>
    <w:rsid w:val="17950508"/>
    <w:rsid w:val="17C37718"/>
    <w:rsid w:val="17D007B6"/>
    <w:rsid w:val="17FF28A5"/>
    <w:rsid w:val="18315770"/>
    <w:rsid w:val="189F63F4"/>
    <w:rsid w:val="19010C43"/>
    <w:rsid w:val="19084C73"/>
    <w:rsid w:val="19201A32"/>
    <w:rsid w:val="19F87860"/>
    <w:rsid w:val="1A054259"/>
    <w:rsid w:val="1A296717"/>
    <w:rsid w:val="1AFB32C8"/>
    <w:rsid w:val="1B2577E2"/>
    <w:rsid w:val="1B440D00"/>
    <w:rsid w:val="1B777BA8"/>
    <w:rsid w:val="1B7F6005"/>
    <w:rsid w:val="1B83264C"/>
    <w:rsid w:val="1BDF4AB1"/>
    <w:rsid w:val="1C12027B"/>
    <w:rsid w:val="1C132CB9"/>
    <w:rsid w:val="1C504281"/>
    <w:rsid w:val="1C5E342A"/>
    <w:rsid w:val="1C795227"/>
    <w:rsid w:val="1CA72CF1"/>
    <w:rsid w:val="1CAE0A20"/>
    <w:rsid w:val="1CCC26CA"/>
    <w:rsid w:val="1CCD4993"/>
    <w:rsid w:val="1CDD1467"/>
    <w:rsid w:val="1D172E57"/>
    <w:rsid w:val="1D3115FF"/>
    <w:rsid w:val="1DBB6A6B"/>
    <w:rsid w:val="1DE74279"/>
    <w:rsid w:val="1E385296"/>
    <w:rsid w:val="1E40264C"/>
    <w:rsid w:val="1E606C25"/>
    <w:rsid w:val="1E9D6342"/>
    <w:rsid w:val="1EAD27B4"/>
    <w:rsid w:val="1EB16CEA"/>
    <w:rsid w:val="1EBD7FBA"/>
    <w:rsid w:val="1ECD1E7C"/>
    <w:rsid w:val="1EE8230A"/>
    <w:rsid w:val="1EED2D0F"/>
    <w:rsid w:val="1EF73789"/>
    <w:rsid w:val="1F44338C"/>
    <w:rsid w:val="1F740D19"/>
    <w:rsid w:val="1FAA599D"/>
    <w:rsid w:val="1FB9295C"/>
    <w:rsid w:val="1FD563CF"/>
    <w:rsid w:val="1FEE796A"/>
    <w:rsid w:val="20272806"/>
    <w:rsid w:val="204E6676"/>
    <w:rsid w:val="205D1519"/>
    <w:rsid w:val="20A04203"/>
    <w:rsid w:val="210C40D4"/>
    <w:rsid w:val="21247254"/>
    <w:rsid w:val="212D37D3"/>
    <w:rsid w:val="21407F52"/>
    <w:rsid w:val="217F33D3"/>
    <w:rsid w:val="2195668B"/>
    <w:rsid w:val="21BC7634"/>
    <w:rsid w:val="21BE5AD4"/>
    <w:rsid w:val="21D61543"/>
    <w:rsid w:val="2207503E"/>
    <w:rsid w:val="22193EB0"/>
    <w:rsid w:val="22344B8C"/>
    <w:rsid w:val="224B31E3"/>
    <w:rsid w:val="225E6D36"/>
    <w:rsid w:val="228B3C29"/>
    <w:rsid w:val="22DC68C8"/>
    <w:rsid w:val="23081A49"/>
    <w:rsid w:val="231D546C"/>
    <w:rsid w:val="237D7407"/>
    <w:rsid w:val="240A50F9"/>
    <w:rsid w:val="241B144A"/>
    <w:rsid w:val="241F451E"/>
    <w:rsid w:val="2431068B"/>
    <w:rsid w:val="2438659C"/>
    <w:rsid w:val="245C52F8"/>
    <w:rsid w:val="2463385E"/>
    <w:rsid w:val="246C7E4D"/>
    <w:rsid w:val="247C3380"/>
    <w:rsid w:val="24803C7F"/>
    <w:rsid w:val="24892C19"/>
    <w:rsid w:val="24A5790D"/>
    <w:rsid w:val="24DF2713"/>
    <w:rsid w:val="24E170AA"/>
    <w:rsid w:val="250B2026"/>
    <w:rsid w:val="250D568B"/>
    <w:rsid w:val="25134332"/>
    <w:rsid w:val="251E37AC"/>
    <w:rsid w:val="257E508F"/>
    <w:rsid w:val="25CC3733"/>
    <w:rsid w:val="25DA0EE9"/>
    <w:rsid w:val="25E506CA"/>
    <w:rsid w:val="26327BC1"/>
    <w:rsid w:val="267C2BA3"/>
    <w:rsid w:val="26BF5712"/>
    <w:rsid w:val="27254C9D"/>
    <w:rsid w:val="27AB7429"/>
    <w:rsid w:val="27D46B0A"/>
    <w:rsid w:val="2803130A"/>
    <w:rsid w:val="285C053E"/>
    <w:rsid w:val="29512530"/>
    <w:rsid w:val="29697554"/>
    <w:rsid w:val="297A484B"/>
    <w:rsid w:val="29EA6437"/>
    <w:rsid w:val="29FA7F26"/>
    <w:rsid w:val="2A0D5A73"/>
    <w:rsid w:val="2A717471"/>
    <w:rsid w:val="2A737817"/>
    <w:rsid w:val="2A846944"/>
    <w:rsid w:val="2AC47DA0"/>
    <w:rsid w:val="2AFE074F"/>
    <w:rsid w:val="2B135CD1"/>
    <w:rsid w:val="2B505571"/>
    <w:rsid w:val="2B5D7E39"/>
    <w:rsid w:val="2B774832"/>
    <w:rsid w:val="2B8B50DE"/>
    <w:rsid w:val="2B940C41"/>
    <w:rsid w:val="2C2E03A4"/>
    <w:rsid w:val="2C3C0810"/>
    <w:rsid w:val="2C40339C"/>
    <w:rsid w:val="2C592A41"/>
    <w:rsid w:val="2C6A0806"/>
    <w:rsid w:val="2C8533BD"/>
    <w:rsid w:val="2C863BDD"/>
    <w:rsid w:val="2C8D4DF2"/>
    <w:rsid w:val="2CF47E87"/>
    <w:rsid w:val="2CFD4C94"/>
    <w:rsid w:val="2D026F13"/>
    <w:rsid w:val="2D442F9B"/>
    <w:rsid w:val="2D4F7415"/>
    <w:rsid w:val="2D55663C"/>
    <w:rsid w:val="2DA11379"/>
    <w:rsid w:val="2DCC7592"/>
    <w:rsid w:val="2DCF7C84"/>
    <w:rsid w:val="2E4B2A44"/>
    <w:rsid w:val="2E593BD9"/>
    <w:rsid w:val="2E642A90"/>
    <w:rsid w:val="2E7E6696"/>
    <w:rsid w:val="2E9B5E4D"/>
    <w:rsid w:val="2EC10058"/>
    <w:rsid w:val="2EE11BBB"/>
    <w:rsid w:val="2EF26E54"/>
    <w:rsid w:val="2F1251F2"/>
    <w:rsid w:val="2F145DEF"/>
    <w:rsid w:val="2F164D03"/>
    <w:rsid w:val="2F32386F"/>
    <w:rsid w:val="2F4041C5"/>
    <w:rsid w:val="2F527C47"/>
    <w:rsid w:val="2F680FB0"/>
    <w:rsid w:val="2F763010"/>
    <w:rsid w:val="2FA43556"/>
    <w:rsid w:val="2FF35C7F"/>
    <w:rsid w:val="300C3127"/>
    <w:rsid w:val="30757753"/>
    <w:rsid w:val="30962F3E"/>
    <w:rsid w:val="30D17E68"/>
    <w:rsid w:val="30DD0B04"/>
    <w:rsid w:val="30FF2795"/>
    <w:rsid w:val="3104005C"/>
    <w:rsid w:val="31041101"/>
    <w:rsid w:val="310D2A9F"/>
    <w:rsid w:val="316C03FB"/>
    <w:rsid w:val="31915735"/>
    <w:rsid w:val="31BA37C1"/>
    <w:rsid w:val="32052414"/>
    <w:rsid w:val="32301AE3"/>
    <w:rsid w:val="3249317D"/>
    <w:rsid w:val="329A6ACE"/>
    <w:rsid w:val="329F03DF"/>
    <w:rsid w:val="32A06931"/>
    <w:rsid w:val="32C71585"/>
    <w:rsid w:val="32DA4D50"/>
    <w:rsid w:val="32E567A7"/>
    <w:rsid w:val="33797245"/>
    <w:rsid w:val="337D5E43"/>
    <w:rsid w:val="33B63187"/>
    <w:rsid w:val="33D364EE"/>
    <w:rsid w:val="34163C77"/>
    <w:rsid w:val="34362B69"/>
    <w:rsid w:val="3439569D"/>
    <w:rsid w:val="34786487"/>
    <w:rsid w:val="348E4BFF"/>
    <w:rsid w:val="349F636B"/>
    <w:rsid w:val="34C737E6"/>
    <w:rsid w:val="34DE5DCD"/>
    <w:rsid w:val="34E1194D"/>
    <w:rsid w:val="350C7A1A"/>
    <w:rsid w:val="351A4C15"/>
    <w:rsid w:val="357205B3"/>
    <w:rsid w:val="35885313"/>
    <w:rsid w:val="35DE3F72"/>
    <w:rsid w:val="35DF3A8D"/>
    <w:rsid w:val="360B1D73"/>
    <w:rsid w:val="36144313"/>
    <w:rsid w:val="361F3323"/>
    <w:rsid w:val="3651059D"/>
    <w:rsid w:val="365F023B"/>
    <w:rsid w:val="36C16D48"/>
    <w:rsid w:val="36E60988"/>
    <w:rsid w:val="36E93760"/>
    <w:rsid w:val="37157B14"/>
    <w:rsid w:val="371B7DB3"/>
    <w:rsid w:val="373A314E"/>
    <w:rsid w:val="37515AFF"/>
    <w:rsid w:val="37523682"/>
    <w:rsid w:val="376855C9"/>
    <w:rsid w:val="37712677"/>
    <w:rsid w:val="37714CBA"/>
    <w:rsid w:val="3784394E"/>
    <w:rsid w:val="37D02183"/>
    <w:rsid w:val="37D20EE5"/>
    <w:rsid w:val="37F00D14"/>
    <w:rsid w:val="37F21BD6"/>
    <w:rsid w:val="37F434A4"/>
    <w:rsid w:val="381D0C5E"/>
    <w:rsid w:val="38393323"/>
    <w:rsid w:val="38410CEB"/>
    <w:rsid w:val="388247F6"/>
    <w:rsid w:val="38900AD9"/>
    <w:rsid w:val="38AB1CD2"/>
    <w:rsid w:val="38AE3BB0"/>
    <w:rsid w:val="38D77892"/>
    <w:rsid w:val="38F73026"/>
    <w:rsid w:val="39882443"/>
    <w:rsid w:val="39B535F0"/>
    <w:rsid w:val="39DB336A"/>
    <w:rsid w:val="39EC7EBC"/>
    <w:rsid w:val="3A1F636F"/>
    <w:rsid w:val="3A370821"/>
    <w:rsid w:val="3A4C17D3"/>
    <w:rsid w:val="3A5D3D12"/>
    <w:rsid w:val="3A9D37FB"/>
    <w:rsid w:val="3AB06E32"/>
    <w:rsid w:val="3ACB5746"/>
    <w:rsid w:val="3B002B68"/>
    <w:rsid w:val="3B070AA1"/>
    <w:rsid w:val="3B0F6F35"/>
    <w:rsid w:val="3B54709C"/>
    <w:rsid w:val="3B7042E5"/>
    <w:rsid w:val="3BAB221C"/>
    <w:rsid w:val="3BB20883"/>
    <w:rsid w:val="3BB22A62"/>
    <w:rsid w:val="3BE83E67"/>
    <w:rsid w:val="3C0C7420"/>
    <w:rsid w:val="3C342CB5"/>
    <w:rsid w:val="3CA02A19"/>
    <w:rsid w:val="3CA142B8"/>
    <w:rsid w:val="3CE10723"/>
    <w:rsid w:val="3CEF2214"/>
    <w:rsid w:val="3CFE1EA1"/>
    <w:rsid w:val="3D0B3DD7"/>
    <w:rsid w:val="3D3449EE"/>
    <w:rsid w:val="3D6371C7"/>
    <w:rsid w:val="3DA8275C"/>
    <w:rsid w:val="3DBC5C66"/>
    <w:rsid w:val="3DCF028A"/>
    <w:rsid w:val="3E2B7359"/>
    <w:rsid w:val="3E441C7D"/>
    <w:rsid w:val="3E537B52"/>
    <w:rsid w:val="3E774042"/>
    <w:rsid w:val="3E796FCD"/>
    <w:rsid w:val="3F2C44E8"/>
    <w:rsid w:val="3F831F54"/>
    <w:rsid w:val="3F943749"/>
    <w:rsid w:val="3F9F3E20"/>
    <w:rsid w:val="3FB5755C"/>
    <w:rsid w:val="3FC60A1C"/>
    <w:rsid w:val="3FC956FF"/>
    <w:rsid w:val="3FF309D1"/>
    <w:rsid w:val="40A36A71"/>
    <w:rsid w:val="40DB36E7"/>
    <w:rsid w:val="410045B8"/>
    <w:rsid w:val="410E4736"/>
    <w:rsid w:val="416130D3"/>
    <w:rsid w:val="41D3631F"/>
    <w:rsid w:val="41D376E9"/>
    <w:rsid w:val="41F466FD"/>
    <w:rsid w:val="421215FC"/>
    <w:rsid w:val="42217CB3"/>
    <w:rsid w:val="42A67A24"/>
    <w:rsid w:val="42D846B9"/>
    <w:rsid w:val="42EE5981"/>
    <w:rsid w:val="42F94010"/>
    <w:rsid w:val="43407E5D"/>
    <w:rsid w:val="43A530D5"/>
    <w:rsid w:val="43A63ACD"/>
    <w:rsid w:val="43A7465A"/>
    <w:rsid w:val="43DD5A2B"/>
    <w:rsid w:val="44010F7F"/>
    <w:rsid w:val="440962BF"/>
    <w:rsid w:val="440D5045"/>
    <w:rsid w:val="44136EA0"/>
    <w:rsid w:val="44C40C6E"/>
    <w:rsid w:val="44F14EB5"/>
    <w:rsid w:val="451927B1"/>
    <w:rsid w:val="45684AB3"/>
    <w:rsid w:val="457A637E"/>
    <w:rsid w:val="457C5A2E"/>
    <w:rsid w:val="459247E8"/>
    <w:rsid w:val="45BE6191"/>
    <w:rsid w:val="460C5979"/>
    <w:rsid w:val="462F15B4"/>
    <w:rsid w:val="464D67A7"/>
    <w:rsid w:val="4654234E"/>
    <w:rsid w:val="46F376B5"/>
    <w:rsid w:val="472D76EC"/>
    <w:rsid w:val="473E0378"/>
    <w:rsid w:val="47770D34"/>
    <w:rsid w:val="477941E7"/>
    <w:rsid w:val="477F3153"/>
    <w:rsid w:val="47913E0A"/>
    <w:rsid w:val="47A90F91"/>
    <w:rsid w:val="47B00298"/>
    <w:rsid w:val="47BB2256"/>
    <w:rsid w:val="47C01792"/>
    <w:rsid w:val="47CC2B23"/>
    <w:rsid w:val="4808150F"/>
    <w:rsid w:val="487713F0"/>
    <w:rsid w:val="488323FD"/>
    <w:rsid w:val="48D1344C"/>
    <w:rsid w:val="48D23129"/>
    <w:rsid w:val="48E73AB4"/>
    <w:rsid w:val="49197FB0"/>
    <w:rsid w:val="493578C2"/>
    <w:rsid w:val="494D2151"/>
    <w:rsid w:val="49E9233D"/>
    <w:rsid w:val="4A5743A3"/>
    <w:rsid w:val="4A613930"/>
    <w:rsid w:val="4A722963"/>
    <w:rsid w:val="4A873B4F"/>
    <w:rsid w:val="4AAD1944"/>
    <w:rsid w:val="4AC31003"/>
    <w:rsid w:val="4ACC4FFF"/>
    <w:rsid w:val="4ACC5E85"/>
    <w:rsid w:val="4AE93159"/>
    <w:rsid w:val="4B283586"/>
    <w:rsid w:val="4B5460CA"/>
    <w:rsid w:val="4B9B1C48"/>
    <w:rsid w:val="4BD0339A"/>
    <w:rsid w:val="4C0C5A57"/>
    <w:rsid w:val="4C0E7BC3"/>
    <w:rsid w:val="4C2536DE"/>
    <w:rsid w:val="4C29524D"/>
    <w:rsid w:val="4CC9255E"/>
    <w:rsid w:val="4D462159"/>
    <w:rsid w:val="4D5C5FAC"/>
    <w:rsid w:val="4D9429A8"/>
    <w:rsid w:val="4DA047C6"/>
    <w:rsid w:val="4DBF6E51"/>
    <w:rsid w:val="4DC605B6"/>
    <w:rsid w:val="4DD807D4"/>
    <w:rsid w:val="4DEC0985"/>
    <w:rsid w:val="4DF35865"/>
    <w:rsid w:val="4E192AC4"/>
    <w:rsid w:val="4E27683A"/>
    <w:rsid w:val="4E9836A8"/>
    <w:rsid w:val="4EB23297"/>
    <w:rsid w:val="4EC50D95"/>
    <w:rsid w:val="4EC705EC"/>
    <w:rsid w:val="4F027C1E"/>
    <w:rsid w:val="4F2765B1"/>
    <w:rsid w:val="4F285975"/>
    <w:rsid w:val="4F7E333B"/>
    <w:rsid w:val="4FBB5E80"/>
    <w:rsid w:val="4FD929B3"/>
    <w:rsid w:val="50141410"/>
    <w:rsid w:val="50554158"/>
    <w:rsid w:val="50B4498B"/>
    <w:rsid w:val="50C05272"/>
    <w:rsid w:val="50C53B21"/>
    <w:rsid w:val="510D4C8D"/>
    <w:rsid w:val="512C687A"/>
    <w:rsid w:val="51796EDE"/>
    <w:rsid w:val="517D4D31"/>
    <w:rsid w:val="51822456"/>
    <w:rsid w:val="51867298"/>
    <w:rsid w:val="51AD0A0B"/>
    <w:rsid w:val="51DB13CA"/>
    <w:rsid w:val="51EB25FD"/>
    <w:rsid w:val="52195EDF"/>
    <w:rsid w:val="52313387"/>
    <w:rsid w:val="52326E4F"/>
    <w:rsid w:val="5251759D"/>
    <w:rsid w:val="525C66C5"/>
    <w:rsid w:val="52744531"/>
    <w:rsid w:val="52B63FF4"/>
    <w:rsid w:val="52BC5461"/>
    <w:rsid w:val="52C0248E"/>
    <w:rsid w:val="52CC766D"/>
    <w:rsid w:val="52E04D27"/>
    <w:rsid w:val="52EB7199"/>
    <w:rsid w:val="531C1FC4"/>
    <w:rsid w:val="533C14FB"/>
    <w:rsid w:val="538F5761"/>
    <w:rsid w:val="539A390F"/>
    <w:rsid w:val="53AD6B40"/>
    <w:rsid w:val="53BB31B7"/>
    <w:rsid w:val="53C60EE7"/>
    <w:rsid w:val="53DB3477"/>
    <w:rsid w:val="53E52AD5"/>
    <w:rsid w:val="53F62D3A"/>
    <w:rsid w:val="541E0EA0"/>
    <w:rsid w:val="545177CB"/>
    <w:rsid w:val="546224E7"/>
    <w:rsid w:val="54AF6B42"/>
    <w:rsid w:val="55406494"/>
    <w:rsid w:val="555A684A"/>
    <w:rsid w:val="558948AE"/>
    <w:rsid w:val="55C14585"/>
    <w:rsid w:val="55D67401"/>
    <w:rsid w:val="55DB558C"/>
    <w:rsid w:val="55DD6F2A"/>
    <w:rsid w:val="55E66DE6"/>
    <w:rsid w:val="55FB27DB"/>
    <w:rsid w:val="55FD3A1F"/>
    <w:rsid w:val="55FE02F9"/>
    <w:rsid w:val="56013F76"/>
    <w:rsid w:val="565C7EE0"/>
    <w:rsid w:val="568B355D"/>
    <w:rsid w:val="569D1DF0"/>
    <w:rsid w:val="56E23970"/>
    <w:rsid w:val="573C506B"/>
    <w:rsid w:val="575A7304"/>
    <w:rsid w:val="577A3C7D"/>
    <w:rsid w:val="578F220A"/>
    <w:rsid w:val="579C13D2"/>
    <w:rsid w:val="57F74C7A"/>
    <w:rsid w:val="57FB73AA"/>
    <w:rsid w:val="57FC07D9"/>
    <w:rsid w:val="581B5327"/>
    <w:rsid w:val="58500F22"/>
    <w:rsid w:val="58710315"/>
    <w:rsid w:val="58B06786"/>
    <w:rsid w:val="58B614DA"/>
    <w:rsid w:val="58BC5557"/>
    <w:rsid w:val="58E61853"/>
    <w:rsid w:val="58FB5F91"/>
    <w:rsid w:val="590208B8"/>
    <w:rsid w:val="591C0009"/>
    <w:rsid w:val="59220E85"/>
    <w:rsid w:val="59632EA1"/>
    <w:rsid w:val="596D1F3A"/>
    <w:rsid w:val="59E61B64"/>
    <w:rsid w:val="5A2046D4"/>
    <w:rsid w:val="5A6B71CB"/>
    <w:rsid w:val="5A6F78C6"/>
    <w:rsid w:val="5ACF0F3A"/>
    <w:rsid w:val="5AD22BBE"/>
    <w:rsid w:val="5B687229"/>
    <w:rsid w:val="5B6C26DE"/>
    <w:rsid w:val="5B990441"/>
    <w:rsid w:val="5BCA199C"/>
    <w:rsid w:val="5BF92461"/>
    <w:rsid w:val="5C6B1600"/>
    <w:rsid w:val="5C7960E9"/>
    <w:rsid w:val="5C921AD0"/>
    <w:rsid w:val="5CC66B99"/>
    <w:rsid w:val="5CFA3ADB"/>
    <w:rsid w:val="5D4C7AD8"/>
    <w:rsid w:val="5D6A62E1"/>
    <w:rsid w:val="5D787300"/>
    <w:rsid w:val="5D9A19C7"/>
    <w:rsid w:val="5D9D35FA"/>
    <w:rsid w:val="5DFD51DB"/>
    <w:rsid w:val="5E0D36E5"/>
    <w:rsid w:val="5E911548"/>
    <w:rsid w:val="5EA6379D"/>
    <w:rsid w:val="5EE4122E"/>
    <w:rsid w:val="5EFC1424"/>
    <w:rsid w:val="5F50230E"/>
    <w:rsid w:val="5F5E55EC"/>
    <w:rsid w:val="5FEE53E1"/>
    <w:rsid w:val="604C08B9"/>
    <w:rsid w:val="607C3753"/>
    <w:rsid w:val="60C30855"/>
    <w:rsid w:val="60D37EAF"/>
    <w:rsid w:val="60DB1EFF"/>
    <w:rsid w:val="60DE6095"/>
    <w:rsid w:val="60E2600C"/>
    <w:rsid w:val="60E9600B"/>
    <w:rsid w:val="60FC647A"/>
    <w:rsid w:val="61280E5E"/>
    <w:rsid w:val="61421EFD"/>
    <w:rsid w:val="614B5348"/>
    <w:rsid w:val="615C5041"/>
    <w:rsid w:val="61996EC4"/>
    <w:rsid w:val="61AA3034"/>
    <w:rsid w:val="61E62A2A"/>
    <w:rsid w:val="620D38FD"/>
    <w:rsid w:val="621E51BC"/>
    <w:rsid w:val="62216C6C"/>
    <w:rsid w:val="6240718C"/>
    <w:rsid w:val="627D6E80"/>
    <w:rsid w:val="628C1D03"/>
    <w:rsid w:val="62D074F3"/>
    <w:rsid w:val="62EA08CF"/>
    <w:rsid w:val="633A6746"/>
    <w:rsid w:val="633D7663"/>
    <w:rsid w:val="639C388C"/>
    <w:rsid w:val="639E61A5"/>
    <w:rsid w:val="63FE0D55"/>
    <w:rsid w:val="645F2B4B"/>
    <w:rsid w:val="64D16C41"/>
    <w:rsid w:val="64E63530"/>
    <w:rsid w:val="64FE5610"/>
    <w:rsid w:val="650D717F"/>
    <w:rsid w:val="655D449B"/>
    <w:rsid w:val="6560510E"/>
    <w:rsid w:val="65636C8E"/>
    <w:rsid w:val="65880ED5"/>
    <w:rsid w:val="65AD322B"/>
    <w:rsid w:val="65CC6260"/>
    <w:rsid w:val="65CE03DF"/>
    <w:rsid w:val="65D3669A"/>
    <w:rsid w:val="65D6683A"/>
    <w:rsid w:val="661D74D6"/>
    <w:rsid w:val="662E4B5F"/>
    <w:rsid w:val="664805B8"/>
    <w:rsid w:val="66657E78"/>
    <w:rsid w:val="667E3F6E"/>
    <w:rsid w:val="66CD764F"/>
    <w:rsid w:val="672B5340"/>
    <w:rsid w:val="674A453F"/>
    <w:rsid w:val="67CC58D4"/>
    <w:rsid w:val="67FC6F39"/>
    <w:rsid w:val="685063F8"/>
    <w:rsid w:val="68692337"/>
    <w:rsid w:val="68A44353"/>
    <w:rsid w:val="68A95288"/>
    <w:rsid w:val="68B96553"/>
    <w:rsid w:val="68D746D7"/>
    <w:rsid w:val="68F85254"/>
    <w:rsid w:val="690F418B"/>
    <w:rsid w:val="69663C8F"/>
    <w:rsid w:val="6971710A"/>
    <w:rsid w:val="69A44437"/>
    <w:rsid w:val="69D53FB9"/>
    <w:rsid w:val="69F22286"/>
    <w:rsid w:val="6A4C3EB0"/>
    <w:rsid w:val="6A7A2736"/>
    <w:rsid w:val="6A7B4B9C"/>
    <w:rsid w:val="6A861A9E"/>
    <w:rsid w:val="6ACF16C3"/>
    <w:rsid w:val="6AE87DB0"/>
    <w:rsid w:val="6AEF3AA7"/>
    <w:rsid w:val="6B242CB6"/>
    <w:rsid w:val="6B2B5D9D"/>
    <w:rsid w:val="6B490423"/>
    <w:rsid w:val="6B4C50B7"/>
    <w:rsid w:val="6B797179"/>
    <w:rsid w:val="6B970AD4"/>
    <w:rsid w:val="6BC76E0D"/>
    <w:rsid w:val="6BD71937"/>
    <w:rsid w:val="6C25725C"/>
    <w:rsid w:val="6C89456C"/>
    <w:rsid w:val="6CF8209A"/>
    <w:rsid w:val="6D3C10C2"/>
    <w:rsid w:val="6D414E1F"/>
    <w:rsid w:val="6D667D08"/>
    <w:rsid w:val="6DA651B2"/>
    <w:rsid w:val="6DAB6D0E"/>
    <w:rsid w:val="6DAF4AB2"/>
    <w:rsid w:val="6DB91E5B"/>
    <w:rsid w:val="6E2B62EA"/>
    <w:rsid w:val="6E300DF1"/>
    <w:rsid w:val="6E993208"/>
    <w:rsid w:val="6EAF0E12"/>
    <w:rsid w:val="6EB45AAE"/>
    <w:rsid w:val="6ECF299E"/>
    <w:rsid w:val="6EED3726"/>
    <w:rsid w:val="6F1412BD"/>
    <w:rsid w:val="6F166925"/>
    <w:rsid w:val="6F603769"/>
    <w:rsid w:val="6F901B66"/>
    <w:rsid w:val="6FA629D4"/>
    <w:rsid w:val="6FBF5C46"/>
    <w:rsid w:val="6FD10552"/>
    <w:rsid w:val="70326005"/>
    <w:rsid w:val="70BB2EF0"/>
    <w:rsid w:val="70F82402"/>
    <w:rsid w:val="71570257"/>
    <w:rsid w:val="71915503"/>
    <w:rsid w:val="71DB44A2"/>
    <w:rsid w:val="71E20C76"/>
    <w:rsid w:val="71F80849"/>
    <w:rsid w:val="723C0D11"/>
    <w:rsid w:val="72411A48"/>
    <w:rsid w:val="72454855"/>
    <w:rsid w:val="725E14F7"/>
    <w:rsid w:val="72CF4263"/>
    <w:rsid w:val="73455C21"/>
    <w:rsid w:val="73AB7F97"/>
    <w:rsid w:val="73B8077C"/>
    <w:rsid w:val="73C41938"/>
    <w:rsid w:val="73D425F7"/>
    <w:rsid w:val="73E13215"/>
    <w:rsid w:val="73F735AF"/>
    <w:rsid w:val="7420188B"/>
    <w:rsid w:val="745D3418"/>
    <w:rsid w:val="75014B8F"/>
    <w:rsid w:val="750A2023"/>
    <w:rsid w:val="75165E8F"/>
    <w:rsid w:val="75793FE9"/>
    <w:rsid w:val="75BB51C1"/>
    <w:rsid w:val="75BF7A08"/>
    <w:rsid w:val="75FA6C1A"/>
    <w:rsid w:val="764A7DFA"/>
    <w:rsid w:val="76574574"/>
    <w:rsid w:val="76643AA0"/>
    <w:rsid w:val="7676736A"/>
    <w:rsid w:val="76933951"/>
    <w:rsid w:val="76DF3D50"/>
    <w:rsid w:val="771D661B"/>
    <w:rsid w:val="771F475C"/>
    <w:rsid w:val="771F7714"/>
    <w:rsid w:val="773E4513"/>
    <w:rsid w:val="775A780B"/>
    <w:rsid w:val="77C651A7"/>
    <w:rsid w:val="77E15536"/>
    <w:rsid w:val="78326432"/>
    <w:rsid w:val="783C23EB"/>
    <w:rsid w:val="78662AD7"/>
    <w:rsid w:val="78782A0D"/>
    <w:rsid w:val="78797925"/>
    <w:rsid w:val="78AC1FEA"/>
    <w:rsid w:val="78B01A78"/>
    <w:rsid w:val="790A10CB"/>
    <w:rsid w:val="792977D4"/>
    <w:rsid w:val="793E4823"/>
    <w:rsid w:val="79485294"/>
    <w:rsid w:val="795E552B"/>
    <w:rsid w:val="798537BE"/>
    <w:rsid w:val="799C2707"/>
    <w:rsid w:val="79A2171F"/>
    <w:rsid w:val="79A252FF"/>
    <w:rsid w:val="79AB0E36"/>
    <w:rsid w:val="79B86297"/>
    <w:rsid w:val="79D33056"/>
    <w:rsid w:val="79E5405B"/>
    <w:rsid w:val="79F159CD"/>
    <w:rsid w:val="7A015D03"/>
    <w:rsid w:val="7A0B5628"/>
    <w:rsid w:val="7A5D4556"/>
    <w:rsid w:val="7B5F27E7"/>
    <w:rsid w:val="7C073D88"/>
    <w:rsid w:val="7C120A01"/>
    <w:rsid w:val="7C26369C"/>
    <w:rsid w:val="7C7E1F12"/>
    <w:rsid w:val="7C9E5A24"/>
    <w:rsid w:val="7CAC00CB"/>
    <w:rsid w:val="7CB0518C"/>
    <w:rsid w:val="7D0B51CF"/>
    <w:rsid w:val="7D365C28"/>
    <w:rsid w:val="7D415807"/>
    <w:rsid w:val="7D481C8C"/>
    <w:rsid w:val="7D4D3ABE"/>
    <w:rsid w:val="7D575412"/>
    <w:rsid w:val="7D62117D"/>
    <w:rsid w:val="7D7F522E"/>
    <w:rsid w:val="7D815945"/>
    <w:rsid w:val="7D9B687D"/>
    <w:rsid w:val="7DA15156"/>
    <w:rsid w:val="7DB54254"/>
    <w:rsid w:val="7DF1144E"/>
    <w:rsid w:val="7E066BAB"/>
    <w:rsid w:val="7E3354C8"/>
    <w:rsid w:val="7E38594E"/>
    <w:rsid w:val="7E3E1EF2"/>
    <w:rsid w:val="7E951513"/>
    <w:rsid w:val="7EF74FC9"/>
    <w:rsid w:val="7F1C5072"/>
    <w:rsid w:val="7F39213F"/>
    <w:rsid w:val="7F5777AD"/>
    <w:rsid w:val="7F5D06E2"/>
    <w:rsid w:val="7FBF61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toc 1" w:semiHidden="0" w:uiPriority="39" w:qFormat="1"/>
    <w:lsdException w:name="toc 2" w:qFormat="1"/>
    <w:lsdException w:name="toc 3" w:semiHidden="0" w:qFormat="1"/>
    <w:lsdException w:name="annotation text"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semiHidden="0" w:unhideWhenUsed="0" w:qFormat="1"/>
    <w:lsdException w:name="List" w:semiHidden="0" w:uiPriority="0" w:unhideWhenUsed="0" w:qFormat="1"/>
    <w:lsdException w:name="List 2" w:semiHidden="0" w:uiPriority="0" w:unhideWhenUsed="0" w:qFormat="1"/>
    <w:lsdException w:name="Title" w:semiHidden="0" w:unhideWhenUsed="0"/>
    <w:lsdException w:name="Default Paragraph Font" w:uiPriority="1"/>
    <w:lsdException w:name="Subtitle" w:semiHidden="0" w:unhideWhenUsed="0"/>
    <w:lsdException w:name="Hyperlink" w:semiHidden="0" w:qFormat="1"/>
    <w:lsdException w:name="Strong" w:semiHidden="0" w:unhideWhenUsed="0"/>
    <w:lsdException w:name="Emphasis" w:semiHidden="0" w:unhideWhenUsed="0"/>
    <w:lsdException w:name="Document Map" w:qFormat="1"/>
    <w:lsdException w:name="Normal (Web)"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BCB"/>
    <w:pPr>
      <w:spacing w:beforeLines="50" w:afterLines="50"/>
      <w:jc w:val="both"/>
    </w:pPr>
    <w:rPr>
      <w:rFonts w:ascii="Times New Roman" w:eastAsia="SimSun" w:hAnsi="Times New Roman"/>
      <w:kern w:val="2"/>
      <w:sz w:val="21"/>
    </w:rPr>
  </w:style>
  <w:style w:type="paragraph" w:styleId="Heading1">
    <w:name w:val="heading 1"/>
    <w:basedOn w:val="Normal"/>
    <w:next w:val="Normal"/>
    <w:qFormat/>
    <w:rsid w:val="00500BCB"/>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500BCB"/>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500BCB"/>
    <w:pPr>
      <w:numPr>
        <w:ilvl w:val="2"/>
      </w:numPr>
      <w:spacing w:before="120"/>
      <w:ind w:left="0"/>
      <w:outlineLvl w:val="2"/>
    </w:pPr>
    <w:rPr>
      <w:sz w:val="24"/>
    </w:rPr>
  </w:style>
  <w:style w:type="paragraph" w:styleId="Heading4">
    <w:name w:val="heading 4"/>
    <w:basedOn w:val="Normal"/>
    <w:next w:val="Normal"/>
    <w:uiPriority w:val="9"/>
    <w:qFormat/>
    <w:rsid w:val="00500BCB"/>
    <w:pPr>
      <w:keepNext/>
      <w:numPr>
        <w:ilvl w:val="3"/>
        <w:numId w:val="2"/>
      </w:numPr>
      <w:spacing w:before="60" w:after="120"/>
      <w:outlineLvl w:val="3"/>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sid w:val="00500BCB"/>
    <w:pPr>
      <w:spacing w:line="240" w:lineRule="auto"/>
      <w:jc w:val="both"/>
    </w:pPr>
    <w:rPr>
      <w:b/>
      <w:bCs/>
      <w:sz w:val="20"/>
    </w:rPr>
  </w:style>
  <w:style w:type="paragraph" w:styleId="CommentText">
    <w:name w:val="annotation text"/>
    <w:basedOn w:val="Normal"/>
    <w:link w:val="CommentTextChar"/>
    <w:uiPriority w:val="99"/>
    <w:semiHidden/>
    <w:unhideWhenUsed/>
    <w:qFormat/>
    <w:rsid w:val="00500BCB"/>
    <w:pPr>
      <w:jc w:val="left"/>
    </w:pPr>
  </w:style>
  <w:style w:type="paragraph" w:styleId="Caption">
    <w:name w:val="caption"/>
    <w:basedOn w:val="Normal"/>
    <w:next w:val="Normal"/>
    <w:qFormat/>
    <w:rsid w:val="00500BCB"/>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uiPriority w:val="99"/>
    <w:semiHidden/>
    <w:unhideWhenUsed/>
    <w:qFormat/>
    <w:rsid w:val="00500BCB"/>
    <w:pPr>
      <w:spacing w:after="0" w:line="240" w:lineRule="auto"/>
    </w:pPr>
    <w:rPr>
      <w:rFonts w:ascii="Tahoma" w:hAnsi="Tahoma" w:cs="Tahoma"/>
      <w:sz w:val="16"/>
      <w:szCs w:val="16"/>
    </w:rPr>
  </w:style>
  <w:style w:type="paragraph" w:styleId="List2">
    <w:name w:val="List 2"/>
    <w:basedOn w:val="Normal"/>
    <w:qFormat/>
    <w:rsid w:val="00500BCB"/>
    <w:pPr>
      <w:ind w:left="851"/>
    </w:pPr>
  </w:style>
  <w:style w:type="paragraph" w:styleId="TOC3">
    <w:name w:val="toc 3"/>
    <w:basedOn w:val="Normal"/>
    <w:next w:val="Normal"/>
    <w:uiPriority w:val="99"/>
    <w:unhideWhenUsed/>
    <w:qFormat/>
    <w:rsid w:val="00500BCB"/>
    <w:pPr>
      <w:adjustRightInd w:val="0"/>
      <w:ind w:leftChars="400" w:left="1282" w:hangingChars="200" w:hanging="442"/>
    </w:pPr>
    <w:rPr>
      <w:b/>
      <w:i/>
      <w:sz w:val="20"/>
    </w:rPr>
  </w:style>
  <w:style w:type="paragraph" w:styleId="BalloonText">
    <w:name w:val="Balloon Text"/>
    <w:basedOn w:val="Normal"/>
    <w:link w:val="BalloonTextChar"/>
    <w:uiPriority w:val="99"/>
    <w:semiHidden/>
    <w:unhideWhenUsed/>
    <w:qFormat/>
    <w:rsid w:val="00500BCB"/>
    <w:pPr>
      <w:spacing w:after="0" w:line="240" w:lineRule="auto"/>
    </w:pPr>
    <w:rPr>
      <w:rFonts w:ascii="Tahoma" w:hAnsi="Tahoma" w:cs="Tahoma"/>
      <w:sz w:val="16"/>
      <w:szCs w:val="16"/>
    </w:rPr>
  </w:style>
  <w:style w:type="paragraph" w:styleId="Footer">
    <w:name w:val="footer"/>
    <w:basedOn w:val="Normal"/>
    <w:link w:val="FooterChar"/>
    <w:uiPriority w:val="99"/>
    <w:unhideWhenUsed/>
    <w:qFormat/>
    <w:rsid w:val="00500BCB"/>
    <w:pPr>
      <w:tabs>
        <w:tab w:val="center" w:pos="4153"/>
        <w:tab w:val="right" w:pos="8306"/>
      </w:tabs>
      <w:snapToGrid w:val="0"/>
      <w:jc w:val="left"/>
    </w:pPr>
    <w:rPr>
      <w:sz w:val="18"/>
      <w:szCs w:val="18"/>
    </w:rPr>
  </w:style>
  <w:style w:type="paragraph" w:styleId="Header">
    <w:name w:val="header"/>
    <w:basedOn w:val="Normal"/>
    <w:link w:val="HeaderChar"/>
    <w:semiHidden/>
    <w:qFormat/>
    <w:rsid w:val="00500BCB"/>
    <w:pPr>
      <w:tabs>
        <w:tab w:val="center" w:pos="4680"/>
        <w:tab w:val="right" w:pos="9360"/>
      </w:tabs>
      <w:spacing w:after="0" w:line="240" w:lineRule="auto"/>
    </w:pPr>
  </w:style>
  <w:style w:type="paragraph" w:styleId="TOC1">
    <w:name w:val="toc 1"/>
    <w:basedOn w:val="Normal"/>
    <w:next w:val="Normal"/>
    <w:uiPriority w:val="39"/>
    <w:unhideWhenUsed/>
    <w:qFormat/>
    <w:rsid w:val="00500BCB"/>
    <w:pPr>
      <w:tabs>
        <w:tab w:val="decimal" w:pos="0"/>
        <w:tab w:val="right" w:pos="9660"/>
      </w:tabs>
      <w:ind w:rightChars="200" w:right="420"/>
      <w:jc w:val="left"/>
    </w:pPr>
    <w:rPr>
      <w:rFonts w:eastAsiaTheme="minorEastAsia"/>
      <w:b/>
      <w:bCs/>
      <w:i/>
      <w:iCs/>
      <w:sz w:val="20"/>
    </w:rPr>
  </w:style>
  <w:style w:type="paragraph" w:styleId="List">
    <w:name w:val="List"/>
    <w:basedOn w:val="Normal"/>
    <w:qFormat/>
    <w:rsid w:val="00500BCB"/>
    <w:pPr>
      <w:ind w:left="568" w:hanging="284"/>
    </w:pPr>
  </w:style>
  <w:style w:type="paragraph" w:styleId="TableofFigures">
    <w:name w:val="table of figures"/>
    <w:basedOn w:val="Normal"/>
    <w:next w:val="Normal"/>
    <w:uiPriority w:val="99"/>
    <w:semiHidden/>
    <w:unhideWhenUsed/>
    <w:qFormat/>
    <w:rsid w:val="00500BCB"/>
    <w:pPr>
      <w:ind w:leftChars="200" w:left="200" w:hangingChars="200" w:hanging="200"/>
    </w:pPr>
  </w:style>
  <w:style w:type="paragraph" w:styleId="TOC2">
    <w:name w:val="toc 2"/>
    <w:basedOn w:val="Normal"/>
    <w:next w:val="Normal"/>
    <w:uiPriority w:val="99"/>
    <w:semiHidden/>
    <w:unhideWhenUsed/>
    <w:qFormat/>
    <w:rsid w:val="00500BCB"/>
    <w:pPr>
      <w:tabs>
        <w:tab w:val="right" w:pos="420"/>
      </w:tabs>
      <w:ind w:leftChars="200" w:left="862" w:hangingChars="200" w:hanging="442"/>
      <w:jc w:val="left"/>
    </w:pPr>
    <w:rPr>
      <w:b/>
      <w:i/>
      <w:sz w:val="20"/>
    </w:rPr>
  </w:style>
  <w:style w:type="paragraph" w:styleId="NormalWeb">
    <w:name w:val="Normal (Web)"/>
    <w:basedOn w:val="Normal"/>
    <w:uiPriority w:val="99"/>
    <w:semiHidden/>
    <w:unhideWhenUsed/>
    <w:qFormat/>
    <w:rsid w:val="00500BCB"/>
    <w:pPr>
      <w:spacing w:beforeAutospacing="1" w:after="0" w:afterAutospacing="1"/>
      <w:jc w:val="left"/>
    </w:pPr>
    <w:rPr>
      <w:kern w:val="0"/>
      <w:sz w:val="24"/>
    </w:rPr>
  </w:style>
  <w:style w:type="character" w:styleId="Hyperlink">
    <w:name w:val="Hyperlink"/>
    <w:basedOn w:val="DefaultParagraphFont"/>
    <w:uiPriority w:val="99"/>
    <w:unhideWhenUsed/>
    <w:qFormat/>
    <w:rsid w:val="00500BCB"/>
    <w:rPr>
      <w:color w:val="0000FF" w:themeColor="hyperlink"/>
      <w:u w:val="single"/>
    </w:rPr>
  </w:style>
  <w:style w:type="character" w:styleId="CommentReference">
    <w:name w:val="annotation reference"/>
    <w:uiPriority w:val="99"/>
    <w:qFormat/>
    <w:rsid w:val="00500BCB"/>
    <w:rPr>
      <w:sz w:val="16"/>
    </w:rPr>
  </w:style>
  <w:style w:type="table" w:styleId="TableGrid">
    <w:name w:val="Table Grid"/>
    <w:basedOn w:val="TableNormal"/>
    <w:uiPriority w:val="59"/>
    <w:qFormat/>
    <w:rsid w:val="00500BC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Observation">
    <w:name w:val="YJ-Observation"/>
    <w:basedOn w:val="YJ-Proposal"/>
    <w:qFormat/>
    <w:rsid w:val="00500BCB"/>
    <w:pPr>
      <w:numPr>
        <w:numId w:val="3"/>
      </w:numPr>
      <w:tabs>
        <w:tab w:val="left" w:pos="420"/>
      </w:tabs>
    </w:pPr>
  </w:style>
  <w:style w:type="paragraph" w:customStyle="1" w:styleId="YJ-Proposal">
    <w:name w:val="YJ-Proposal"/>
    <w:basedOn w:val="Normal"/>
    <w:qFormat/>
    <w:rsid w:val="00500BCB"/>
    <w:pPr>
      <w:numPr>
        <w:numId w:val="4"/>
      </w:numPr>
      <w:jc w:val="left"/>
    </w:pPr>
    <w:rPr>
      <w:rFonts w:eastAsiaTheme="minorEastAsia"/>
      <w:b/>
      <w:bCs/>
      <w:i/>
      <w:iCs/>
      <w:sz w:val="20"/>
      <w:lang w:val="en-GB" w:eastAsia="en-US"/>
    </w:rPr>
  </w:style>
  <w:style w:type="paragraph" w:customStyle="1" w:styleId="YJ--">
    <w:name w:val="YJ--正文"/>
    <w:basedOn w:val="Normal"/>
    <w:qFormat/>
    <w:rsid w:val="00500BCB"/>
    <w:pPr>
      <w:spacing w:line="240" w:lineRule="auto"/>
      <w:ind w:firstLineChars="200" w:firstLine="1440"/>
    </w:pPr>
    <w:rPr>
      <w:rFonts w:eastAsia="Times New Roman" w:cs="SimSun"/>
    </w:rPr>
  </w:style>
  <w:style w:type="paragraph" w:customStyle="1" w:styleId="sub-proposal">
    <w:name w:val="sub-proposal"/>
    <w:basedOn w:val="YJ-Proposal"/>
    <w:next w:val="Normal"/>
    <w:qFormat/>
    <w:rsid w:val="00500BCB"/>
    <w:pPr>
      <w:numPr>
        <w:numId w:val="5"/>
      </w:numPr>
      <w:tabs>
        <w:tab w:val="left" w:pos="807"/>
      </w:tabs>
      <w:ind w:leftChars="200" w:left="862" w:hangingChars="200" w:hanging="442"/>
    </w:pPr>
  </w:style>
  <w:style w:type="paragraph" w:customStyle="1" w:styleId="sub-observation">
    <w:name w:val="sub-observation"/>
    <w:basedOn w:val="sub-proposal"/>
    <w:next w:val="Normal"/>
    <w:qFormat/>
    <w:rsid w:val="00500BCB"/>
  </w:style>
  <w:style w:type="paragraph" w:customStyle="1" w:styleId="3rdlevelproposal">
    <w:name w:val="3rd level proposal"/>
    <w:basedOn w:val="sub-proposal"/>
    <w:next w:val="Normal"/>
    <w:qFormat/>
    <w:rsid w:val="00500BCB"/>
    <w:pPr>
      <w:numPr>
        <w:numId w:val="6"/>
      </w:numPr>
      <w:ind w:leftChars="400" w:left="1282" w:hanging="442"/>
    </w:pPr>
  </w:style>
  <w:style w:type="paragraph" w:customStyle="1" w:styleId="3rdlevelobservation">
    <w:name w:val="3rd level observation"/>
    <w:basedOn w:val="sub-observation"/>
    <w:qFormat/>
    <w:rsid w:val="00500BCB"/>
    <w:pPr>
      <w:numPr>
        <w:numId w:val="7"/>
      </w:numPr>
      <w:ind w:leftChars="400" w:left="1282" w:hanging="442"/>
    </w:pPr>
  </w:style>
  <w:style w:type="paragraph" w:customStyle="1" w:styleId="References">
    <w:name w:val="References"/>
    <w:basedOn w:val="Normal"/>
    <w:qFormat/>
    <w:rsid w:val="00500BCB"/>
    <w:pPr>
      <w:numPr>
        <w:numId w:val="8"/>
      </w:numPr>
      <w:spacing w:after="60"/>
    </w:pPr>
    <w:rPr>
      <w:szCs w:val="16"/>
    </w:rPr>
  </w:style>
  <w:style w:type="paragraph" w:styleId="ListParagraph">
    <w:name w:val="List Paragraph"/>
    <w:basedOn w:val="Normal"/>
    <w:link w:val="ListParagraphChar"/>
    <w:uiPriority w:val="34"/>
    <w:qFormat/>
    <w:rsid w:val="00500BCB"/>
    <w:pPr>
      <w:spacing w:beforeLines="0" w:after="0" w:line="240" w:lineRule="auto"/>
      <w:ind w:left="720"/>
      <w:contextualSpacing/>
    </w:pPr>
    <w:rPr>
      <w:rFonts w:eastAsia="Times New Roman"/>
      <w:sz w:val="24"/>
      <w:szCs w:val="24"/>
    </w:rPr>
  </w:style>
  <w:style w:type="paragraph" w:customStyle="1" w:styleId="1">
    <w:name w:val="样式1"/>
    <w:basedOn w:val="Normal"/>
    <w:qFormat/>
    <w:rsid w:val="00500BCB"/>
  </w:style>
  <w:style w:type="paragraph" w:customStyle="1" w:styleId="2">
    <w:name w:val="样式2"/>
    <w:basedOn w:val="Normal"/>
    <w:qFormat/>
    <w:rsid w:val="00500BCB"/>
  </w:style>
  <w:style w:type="paragraph" w:customStyle="1" w:styleId="Style1">
    <w:name w:val="Style1"/>
    <w:basedOn w:val="Normal"/>
    <w:qFormat/>
    <w:rsid w:val="00500BCB"/>
    <w:pPr>
      <w:spacing w:after="100" w:afterAutospacing="1" w:line="300" w:lineRule="auto"/>
      <w:ind w:firstLine="360"/>
      <w:contextualSpacing/>
    </w:pPr>
  </w:style>
  <w:style w:type="character" w:customStyle="1" w:styleId="font21">
    <w:name w:val="font21"/>
    <w:basedOn w:val="DefaultParagraphFont"/>
    <w:qFormat/>
    <w:rsid w:val="00500BCB"/>
    <w:rPr>
      <w:rFonts w:ascii="SimSun" w:eastAsia="SimSun" w:hAnsi="SimSun" w:cs="SimSun" w:hint="eastAsia"/>
      <w:color w:val="000000"/>
      <w:sz w:val="20"/>
      <w:szCs w:val="20"/>
      <w:u w:val="none"/>
    </w:rPr>
  </w:style>
  <w:style w:type="character" w:customStyle="1" w:styleId="font11">
    <w:name w:val="font11"/>
    <w:basedOn w:val="DefaultParagraphFont"/>
    <w:qFormat/>
    <w:rsid w:val="00500BCB"/>
    <w:rPr>
      <w:rFonts w:ascii="Times New Roman" w:hAnsi="Times New Roman" w:cs="Times New Roman" w:hint="default"/>
      <w:color w:val="000000"/>
      <w:sz w:val="21"/>
      <w:szCs w:val="21"/>
      <w:u w:val="none"/>
    </w:rPr>
  </w:style>
  <w:style w:type="character" w:customStyle="1" w:styleId="font01">
    <w:name w:val="font01"/>
    <w:basedOn w:val="DefaultParagraphFont"/>
    <w:qFormat/>
    <w:rsid w:val="00500BCB"/>
    <w:rPr>
      <w:rFonts w:ascii="Times New Roman" w:hAnsi="Times New Roman" w:cs="Times New Roman" w:hint="default"/>
      <w:color w:val="000000"/>
      <w:sz w:val="20"/>
      <w:szCs w:val="20"/>
      <w:u w:val="none"/>
    </w:rPr>
  </w:style>
  <w:style w:type="paragraph" w:customStyle="1" w:styleId="PL">
    <w:name w:val="PL"/>
    <w:qFormat/>
    <w:rsid w:val="00500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szCs w:val="22"/>
    </w:rPr>
  </w:style>
  <w:style w:type="paragraph" w:customStyle="1" w:styleId="B1">
    <w:name w:val="B1"/>
    <w:basedOn w:val="List"/>
    <w:link w:val="B1Zchn"/>
    <w:qFormat/>
    <w:rsid w:val="00500BCB"/>
  </w:style>
  <w:style w:type="paragraph" w:customStyle="1" w:styleId="TH">
    <w:name w:val="TH"/>
    <w:basedOn w:val="Normal"/>
    <w:qFormat/>
    <w:rsid w:val="00500BCB"/>
    <w:pPr>
      <w:keepNext/>
      <w:keepLines/>
      <w:spacing w:before="60"/>
      <w:jc w:val="center"/>
    </w:pPr>
    <w:rPr>
      <w:rFonts w:ascii="Arial" w:hAnsi="Arial"/>
      <w:b/>
    </w:rPr>
  </w:style>
  <w:style w:type="paragraph" w:customStyle="1" w:styleId="TAH">
    <w:name w:val="TAH"/>
    <w:basedOn w:val="TAC"/>
    <w:qFormat/>
    <w:rsid w:val="00500BCB"/>
    <w:rPr>
      <w:b/>
    </w:rPr>
  </w:style>
  <w:style w:type="paragraph" w:customStyle="1" w:styleId="TAC">
    <w:name w:val="TAC"/>
    <w:basedOn w:val="TAL"/>
    <w:qFormat/>
    <w:rsid w:val="00500BCB"/>
    <w:pPr>
      <w:jc w:val="center"/>
    </w:pPr>
  </w:style>
  <w:style w:type="paragraph" w:customStyle="1" w:styleId="TAL">
    <w:name w:val="TAL"/>
    <w:basedOn w:val="Normal"/>
    <w:qFormat/>
    <w:rsid w:val="00500BCB"/>
    <w:pPr>
      <w:keepNext/>
      <w:keepLines/>
      <w:spacing w:after="0"/>
    </w:pPr>
    <w:rPr>
      <w:rFonts w:ascii="Arial" w:hAnsi="Arial"/>
      <w:sz w:val="18"/>
    </w:rPr>
  </w:style>
  <w:style w:type="character" w:customStyle="1" w:styleId="fontstyle01">
    <w:name w:val="fontstyle01"/>
    <w:basedOn w:val="DefaultParagraphFont"/>
    <w:qFormat/>
    <w:rsid w:val="00500BCB"/>
    <w:rPr>
      <w:rFonts w:ascii="Times New Roman" w:hAnsi="Times New Roman" w:cs="Times New Roman" w:hint="default"/>
      <w:i/>
      <w:iCs/>
      <w:color w:val="000000"/>
      <w:sz w:val="20"/>
      <w:szCs w:val="20"/>
    </w:rPr>
  </w:style>
  <w:style w:type="paragraph" w:customStyle="1" w:styleId="B2">
    <w:name w:val="B2"/>
    <w:basedOn w:val="List2"/>
    <w:link w:val="B2Char"/>
    <w:qFormat/>
    <w:rsid w:val="00500BCB"/>
  </w:style>
  <w:style w:type="character" w:customStyle="1" w:styleId="BalloonTextChar">
    <w:name w:val="Balloon Text Char"/>
    <w:basedOn w:val="DefaultParagraphFont"/>
    <w:link w:val="BalloonText"/>
    <w:uiPriority w:val="99"/>
    <w:semiHidden/>
    <w:qFormat/>
    <w:rsid w:val="00500BCB"/>
    <w:rPr>
      <w:rFonts w:ascii="Tahoma" w:hAnsi="Tahoma" w:cs="Tahoma"/>
      <w:kern w:val="2"/>
      <w:sz w:val="16"/>
      <w:szCs w:val="16"/>
    </w:rPr>
  </w:style>
  <w:style w:type="character" w:customStyle="1" w:styleId="DocumentMapChar">
    <w:name w:val="Document Map Char"/>
    <w:basedOn w:val="DefaultParagraphFont"/>
    <w:link w:val="DocumentMap"/>
    <w:uiPriority w:val="99"/>
    <w:semiHidden/>
    <w:qFormat/>
    <w:rsid w:val="00500BCB"/>
    <w:rPr>
      <w:rFonts w:ascii="Tahoma" w:hAnsi="Tahoma" w:cs="Tahoma"/>
      <w:kern w:val="2"/>
      <w:sz w:val="16"/>
      <w:szCs w:val="16"/>
    </w:rPr>
  </w:style>
  <w:style w:type="character" w:customStyle="1" w:styleId="CommentTextChar">
    <w:name w:val="Comment Text Char"/>
    <w:basedOn w:val="DefaultParagraphFont"/>
    <w:link w:val="CommentText"/>
    <w:uiPriority w:val="99"/>
    <w:semiHidden/>
    <w:qFormat/>
    <w:rsid w:val="00500BCB"/>
    <w:rPr>
      <w:kern w:val="2"/>
      <w:sz w:val="21"/>
    </w:rPr>
  </w:style>
  <w:style w:type="character" w:customStyle="1" w:styleId="CommentSubjectChar">
    <w:name w:val="Comment Subject Char"/>
    <w:basedOn w:val="CommentTextChar"/>
    <w:link w:val="CommentSubject"/>
    <w:qFormat/>
    <w:rsid w:val="00500BCB"/>
    <w:rPr>
      <w:kern w:val="2"/>
      <w:sz w:val="21"/>
    </w:rPr>
  </w:style>
  <w:style w:type="paragraph" w:customStyle="1" w:styleId="maintext">
    <w:name w:val="main text"/>
    <w:basedOn w:val="Normal"/>
    <w:qFormat/>
    <w:rsid w:val="00500BCB"/>
    <w:pPr>
      <w:spacing w:before="60" w:after="60" w:line="288" w:lineRule="auto"/>
      <w:ind w:firstLineChars="200" w:firstLine="200"/>
    </w:pPr>
    <w:rPr>
      <w:rFonts w:eastAsia="Malgun Gothic"/>
      <w:szCs w:val="24"/>
      <w:lang w:eastAsia="ko-KR"/>
    </w:rPr>
  </w:style>
  <w:style w:type="character" w:customStyle="1" w:styleId="HeaderChar">
    <w:name w:val="Header Char"/>
    <w:basedOn w:val="DefaultParagraphFont"/>
    <w:link w:val="Header"/>
    <w:semiHidden/>
    <w:qFormat/>
    <w:rsid w:val="00500BCB"/>
    <w:rPr>
      <w:kern w:val="2"/>
      <w:sz w:val="21"/>
    </w:rPr>
  </w:style>
  <w:style w:type="character" w:customStyle="1" w:styleId="FooterChar">
    <w:name w:val="Footer Char"/>
    <w:basedOn w:val="DefaultParagraphFont"/>
    <w:link w:val="Footer"/>
    <w:uiPriority w:val="99"/>
    <w:qFormat/>
    <w:rsid w:val="00500BCB"/>
    <w:rPr>
      <w:kern w:val="2"/>
      <w:sz w:val="18"/>
      <w:szCs w:val="18"/>
    </w:rPr>
  </w:style>
  <w:style w:type="character" w:customStyle="1" w:styleId="B1Zchn">
    <w:name w:val="B1 Zchn"/>
    <w:link w:val="B1"/>
    <w:qFormat/>
    <w:rsid w:val="00500BCB"/>
    <w:rPr>
      <w:kern w:val="2"/>
      <w:sz w:val="21"/>
    </w:rPr>
  </w:style>
  <w:style w:type="character" w:customStyle="1" w:styleId="B2Char">
    <w:name w:val="B2 Char"/>
    <w:link w:val="B2"/>
    <w:qFormat/>
    <w:rsid w:val="00500BCB"/>
    <w:rPr>
      <w:kern w:val="2"/>
      <w:sz w:val="21"/>
    </w:rPr>
  </w:style>
  <w:style w:type="character" w:customStyle="1" w:styleId="ListParagraphChar">
    <w:name w:val="List Paragraph Char"/>
    <w:link w:val="ListParagraph"/>
    <w:uiPriority w:val="34"/>
    <w:qFormat/>
    <w:rsid w:val="00500BCB"/>
    <w:rPr>
      <w:rFonts w:ascii="Times New Roman" w:eastAsia="Times New Roman" w:hAnsi="Times New Roman"/>
      <w:kern w:val="2"/>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1A77FD-D6BC-4AD3-B15A-32020B49A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3</Pages>
  <Words>971</Words>
  <Characters>5164</Characters>
  <Application>Microsoft Office Word</Application>
  <DocSecurity>0</DocSecurity>
  <Lines>43</Lines>
  <Paragraphs>12</Paragraphs>
  <ScaleCrop>false</ScaleCrop>
  <Company/>
  <LinksUpToDate>false</LinksUpToDate>
  <CharactersWithSpaces>6123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59</cp:revision>
  <dcterms:created xsi:type="dcterms:W3CDTF">2019-04-08T03:09:00Z</dcterms:created>
  <dcterms:modified xsi:type="dcterms:W3CDTF">2020-05-15T16:04:00Z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